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3C9E" w14:textId="0D4D2B16" w:rsidR="00E83884" w:rsidRPr="00574B24" w:rsidRDefault="001848A8" w:rsidP="00AB5E65">
      <w:pPr>
        <w:pStyle w:val="Overskrift1"/>
      </w:pPr>
      <w:r w:rsidRPr="00574B24">
        <w:t>Publishable Summary</w:t>
      </w:r>
      <w:r w:rsidR="00B72E59" w:rsidRPr="00574B24">
        <w:t xml:space="preserve"> for </w:t>
      </w:r>
      <w:r w:rsidR="006573AE">
        <w:t>25IEM</w:t>
      </w:r>
      <w:r w:rsidR="0036211B" w:rsidRPr="00574B24">
        <w:t>01</w:t>
      </w:r>
      <w:r w:rsidR="006573AE">
        <w:t xml:space="preserve"> S-</w:t>
      </w:r>
      <w:proofErr w:type="spellStart"/>
      <w:r w:rsidR="006573AE">
        <w:t>CALe</w:t>
      </w:r>
      <w:proofErr w:type="spellEnd"/>
      <w:r w:rsidR="006573AE">
        <w:t xml:space="preserve"> </w:t>
      </w:r>
      <w:proofErr w:type="spellStart"/>
      <w:r w:rsidR="006573AE">
        <w:t>iIT</w:t>
      </w:r>
      <w:proofErr w:type="spellEnd"/>
      <w:r w:rsidR="00B72E59" w:rsidRPr="00574B24">
        <w:t xml:space="preserve"> </w:t>
      </w:r>
    </w:p>
    <w:p w14:paraId="09673C9F" w14:textId="41DD35A2" w:rsidR="00E83884" w:rsidRPr="00574B24" w:rsidRDefault="006573AE" w:rsidP="00F33779">
      <w:pPr>
        <w:jc w:val="center"/>
        <w:rPr>
          <w:rFonts w:ascii="Arial" w:eastAsia="SimSun" w:hAnsi="Arial" w:cs="Arial"/>
          <w:b/>
          <w:bCs/>
          <w:sz w:val="28"/>
          <w:lang w:eastAsia="zh-CN"/>
        </w:rPr>
      </w:pPr>
      <w:r>
        <w:rPr>
          <w:rFonts w:ascii="Arial" w:eastAsia="SimSun" w:hAnsi="Arial" w:cs="Arial"/>
          <w:b/>
          <w:bCs/>
          <w:sz w:val="28"/>
          <w:lang w:eastAsia="zh-CN"/>
        </w:rPr>
        <w:t>Self-calibrating photodiodes for integrated and infrared technologies</w:t>
      </w:r>
    </w:p>
    <w:p w14:paraId="09673CA0" w14:textId="77777777" w:rsidR="00A53E6C" w:rsidRDefault="00A53E6C" w:rsidP="00287F50">
      <w:pPr>
        <w:jc w:val="both"/>
        <w:rPr>
          <w:rFonts w:ascii="Arial" w:hAnsi="Arial" w:cs="Arial"/>
          <w:lang w:eastAsia="en-GB"/>
        </w:rPr>
      </w:pPr>
    </w:p>
    <w:p w14:paraId="44AEFDA7" w14:textId="3F232BDD" w:rsidR="00E92F31" w:rsidRPr="00231AC9" w:rsidRDefault="00E92F31" w:rsidP="00287F50">
      <w:pPr>
        <w:jc w:val="both"/>
        <w:rPr>
          <w:rFonts w:ascii="Arial" w:hAnsi="Arial" w:cs="Arial"/>
          <w:b/>
          <w:bCs/>
          <w:lang w:eastAsia="en-GB"/>
        </w:rPr>
      </w:pPr>
    </w:p>
    <w:p w14:paraId="30F4E924" w14:textId="77777777" w:rsidR="0028207D" w:rsidRPr="00574B24" w:rsidRDefault="0028207D" w:rsidP="00F33779">
      <w:pPr>
        <w:pStyle w:val="Topptekst"/>
        <w:tabs>
          <w:tab w:val="clear" w:pos="4536"/>
          <w:tab w:val="clear" w:pos="9072"/>
        </w:tabs>
        <w:rPr>
          <w:rFonts w:ascii="Arial" w:hAnsi="Arial"/>
          <w:b/>
        </w:rPr>
      </w:pPr>
    </w:p>
    <w:p w14:paraId="09673CA9" w14:textId="77777777" w:rsidR="00711110" w:rsidRPr="00574B24" w:rsidRDefault="00711110" w:rsidP="00F33779">
      <w:pPr>
        <w:pStyle w:val="Topptekst"/>
        <w:tabs>
          <w:tab w:val="clear" w:pos="4536"/>
          <w:tab w:val="clear" w:pos="9072"/>
        </w:tabs>
        <w:rPr>
          <w:rFonts w:ascii="Arial" w:hAnsi="Arial"/>
          <w:b/>
        </w:rPr>
      </w:pPr>
      <w:r w:rsidRPr="00574B24">
        <w:rPr>
          <w:rFonts w:ascii="Arial" w:hAnsi="Arial"/>
          <w:b/>
        </w:rPr>
        <w:t>Overview</w:t>
      </w:r>
    </w:p>
    <w:p w14:paraId="2A3CF684" w14:textId="78B3AB99" w:rsidR="00460B54" w:rsidRDefault="00460B54" w:rsidP="00460B54">
      <w:pPr>
        <w:pStyle w:val="EMPIRbodytext"/>
        <w:rPr>
          <w:lang w:eastAsia="en-US"/>
        </w:rPr>
      </w:pPr>
      <w:r w:rsidRPr="009552D1">
        <w:rPr>
          <w:lang w:eastAsia="en-US"/>
        </w:rPr>
        <w:t>Photonics as a key enabling technology is driving the technological development in light-based sensing, health, industry and environment in a trend moving towards miniaturised and integrated measurement systems. Combining predictable photod</w:t>
      </w:r>
      <w:r w:rsidR="00460F4B">
        <w:rPr>
          <w:lang w:eastAsia="en-US"/>
        </w:rPr>
        <w:t>iode</w:t>
      </w:r>
      <w:r w:rsidRPr="009552D1">
        <w:rPr>
          <w:lang w:eastAsia="en-US"/>
        </w:rPr>
        <w:t xml:space="preserve">s and new metrology from previous successful projects in the spectral range from 200 nm to 1000 nm, we propose full integration of the technology in a photonic integrated circuit forming an NMI-on-a-chip. Furthermore, we propose to develop a predictable spectral response scale in the </w:t>
      </w:r>
      <w:r>
        <w:rPr>
          <w:lang w:eastAsia="en-US"/>
        </w:rPr>
        <w:t xml:space="preserve">near </w:t>
      </w:r>
      <w:r w:rsidRPr="009552D1">
        <w:rPr>
          <w:lang w:eastAsia="en-US"/>
        </w:rPr>
        <w:t xml:space="preserve">infrared and use </w:t>
      </w:r>
      <w:r>
        <w:rPr>
          <w:lang w:eastAsia="en-US"/>
        </w:rPr>
        <w:t>it</w:t>
      </w:r>
      <w:r w:rsidRPr="009552D1">
        <w:rPr>
          <w:lang w:eastAsia="en-US"/>
        </w:rPr>
        <w:t xml:space="preserve"> as a reference for SI traceable spectral solar irradiance from 300 nm to 1600 nm and provide SI traceability in the emerging field of programmable photonic integrated circuits.</w:t>
      </w:r>
    </w:p>
    <w:p w14:paraId="5DAAB44D" w14:textId="77777777" w:rsidR="00C959D4" w:rsidRPr="00AD6A48" w:rsidRDefault="00C959D4" w:rsidP="00BF5006">
      <w:pPr>
        <w:pStyle w:val="EMRPbodytext"/>
        <w:rPr>
          <w:b/>
        </w:rPr>
      </w:pPr>
    </w:p>
    <w:p w14:paraId="09673CAD" w14:textId="77777777" w:rsidR="005945D8" w:rsidRPr="00AD6A48" w:rsidRDefault="00F35B0B" w:rsidP="00F33779">
      <w:pPr>
        <w:pStyle w:val="Topptekst"/>
        <w:tabs>
          <w:tab w:val="clear" w:pos="4536"/>
          <w:tab w:val="clear" w:pos="9072"/>
        </w:tabs>
        <w:rPr>
          <w:rFonts w:ascii="Arial" w:hAnsi="Arial"/>
          <w:b/>
        </w:rPr>
      </w:pPr>
      <w:r w:rsidRPr="00AD6A48">
        <w:rPr>
          <w:rFonts w:ascii="Arial" w:hAnsi="Arial"/>
          <w:b/>
        </w:rPr>
        <w:t>Need</w:t>
      </w:r>
    </w:p>
    <w:p w14:paraId="77CD58ED" w14:textId="77777777" w:rsidR="004902E1" w:rsidRPr="004902E1" w:rsidRDefault="004902E1" w:rsidP="004902E1">
      <w:pPr>
        <w:pStyle w:val="EMPIRbodytext"/>
      </w:pPr>
      <w:r w:rsidRPr="004902E1">
        <w:t>From political and industrial leaders, the message is clear: Europe must strengthen manufacturing and metrology capabilities to ensure innovation and maintain control over the supply chain. Through the Chips Joint Undertaking (CHIPS-JU), a €380M investment in new production lines was approved in 2024.</w:t>
      </w:r>
    </w:p>
    <w:p w14:paraId="35445780" w14:textId="544FF7E7" w:rsidR="004902E1" w:rsidRPr="004902E1" w:rsidRDefault="004902E1" w:rsidP="004902E1">
      <w:pPr>
        <w:pStyle w:val="EMRPbodytext"/>
      </w:pPr>
      <w:r w:rsidRPr="004902E1">
        <w:t>Photonics is one of Europe’s six Key Enabling Technologies (KET), with applications in climate monitoring, healthcare, diagnostics, energy-efficient lighting, quantum technologies, and more. The trend is toward miniaturization, integrated measurement systems</w:t>
      </w:r>
      <w:r w:rsidR="007737A6">
        <w:t xml:space="preserve"> </w:t>
      </w:r>
      <w:r w:rsidRPr="004902E1">
        <w:t>and distributed sensors. Current metrology systems cannot calibrate photonic integrated circuits (PICs), creating a growing need highlighted in multiple European strategies. Platforms such as Photonics21 and Quantum Flagship emphasize the integration of self-calibrating systems as a major research and innovation challenge. To reduce costs and improve robustness, tighter component integration on a single chip is essential. Consequently, Chips JU has launched calls for projects combining electronics and photonics. Process Design Kits (PDKs)—modular process libraries—are recommended to accelerate development. However, varying PDK quality demands accurate performance measurement, posing a challenge for metrology.</w:t>
      </w:r>
    </w:p>
    <w:p w14:paraId="39C06279" w14:textId="77777777" w:rsidR="004902E1" w:rsidRPr="004902E1" w:rsidRDefault="004902E1" w:rsidP="004902E1">
      <w:pPr>
        <w:pStyle w:val="EMRPbodytext"/>
      </w:pPr>
      <w:r w:rsidRPr="004902E1">
        <w:t>Today’s radiometry community cannot provide on-chip traceability. Previous European projects demonstrated that self-calibrating Predictable Quantum Efficient Detectors (PQEDs) can serve as miniaturized primary standards from 300–1000 nm, achieving record-low uncertainty and stability. Current work extends this to 200–400 nm, while improved traceability in the infrared (900–1600 nm) is urgently needed. Recent breakthroughs in black Germanium (</w:t>
      </w:r>
      <w:proofErr w:type="spellStart"/>
      <w:r w:rsidRPr="004902E1">
        <w:t>bGe</w:t>
      </w:r>
      <w:proofErr w:type="spellEnd"/>
      <w:r w:rsidRPr="004902E1">
        <w:t>) photodiodes enable predictable IR spectral response with lower uncertainty than the current 0.3% benchmark, simplifying calibration chains and reducing required wavelengths.</w:t>
      </w:r>
    </w:p>
    <w:p w14:paraId="560D966B" w14:textId="77777777" w:rsidR="004902E1" w:rsidRPr="004902E1" w:rsidRDefault="004902E1" w:rsidP="004902E1">
      <w:pPr>
        <w:pStyle w:val="EMRPbodytext"/>
      </w:pPr>
      <w:r w:rsidRPr="004902E1">
        <w:t>Infrared technology is critical for Earth observation, meteorology, and communication. Measuring Earth’s energy imbalance (EEI)—the ratio of incoming to outgoing radiation—requires ultra-low uncertainty (&lt;0.1%) across UV to IR. This project aims to improve traceability for spectral solar irradiance from 300–1600 nm, reducing uncertainty in atmospheric gas and aerosol measurements. The compact, self-calibrating technology is particularly suited for small satellite missions, providing internal optical power references in remote environments.</w:t>
      </w:r>
    </w:p>
    <w:p w14:paraId="1491D57D" w14:textId="77777777" w:rsidR="00460B54" w:rsidRPr="00AD6A48" w:rsidRDefault="00460B54" w:rsidP="00BF5006">
      <w:pPr>
        <w:pStyle w:val="EMRPbodytext"/>
        <w:rPr>
          <w:b/>
        </w:rPr>
      </w:pPr>
    </w:p>
    <w:p w14:paraId="09673CB1" w14:textId="77777777" w:rsidR="00440069" w:rsidRPr="00AD6A48" w:rsidRDefault="00440069" w:rsidP="00440069">
      <w:pPr>
        <w:pStyle w:val="Topptekst"/>
        <w:tabs>
          <w:tab w:val="clear" w:pos="4536"/>
          <w:tab w:val="clear" w:pos="9072"/>
        </w:tabs>
        <w:rPr>
          <w:rFonts w:ascii="Arial" w:hAnsi="Arial"/>
          <w:b/>
        </w:rPr>
      </w:pPr>
      <w:r w:rsidRPr="00AD6A48">
        <w:rPr>
          <w:rFonts w:ascii="Arial" w:hAnsi="Arial"/>
          <w:b/>
        </w:rPr>
        <w:t>Objectives</w:t>
      </w:r>
    </w:p>
    <w:p w14:paraId="610649D4" w14:textId="77777777" w:rsidR="00460B54" w:rsidRDefault="00460B54" w:rsidP="00460B54">
      <w:pPr>
        <w:pStyle w:val="EMPIRbodytext"/>
      </w:pPr>
      <w:r>
        <w:lastRenderedPageBreak/>
        <w:t xml:space="preserve">The overall objective of the project is to </w:t>
      </w:r>
      <w:r w:rsidRPr="0015706A">
        <w:t xml:space="preserve">develop improved and simplified SI traceability in the infrared spectral range and increase the TRL-level from previous projects by developing built-in SI traceability in photonic integrated circuits (PICs) and </w:t>
      </w:r>
      <w:r w:rsidRPr="00CF134B">
        <w:t xml:space="preserve">demonstrating </w:t>
      </w:r>
      <w:r w:rsidRPr="0015706A">
        <w:t xml:space="preserve">the benefit of having a predictable reference in dedicated measurement </w:t>
      </w:r>
      <w:r>
        <w:t>setups</w:t>
      </w:r>
      <w:r w:rsidRPr="0015706A">
        <w:t xml:space="preserve">. </w:t>
      </w:r>
      <w:r>
        <w:t xml:space="preserve">   </w:t>
      </w:r>
    </w:p>
    <w:p w14:paraId="494B2547" w14:textId="77777777" w:rsidR="00460B54" w:rsidRPr="00881587" w:rsidRDefault="00460B54" w:rsidP="00460B54">
      <w:pPr>
        <w:pStyle w:val="EMPIRbodytext"/>
      </w:pPr>
      <w:r>
        <w:t>The specific objectives of the project are:</w:t>
      </w:r>
    </w:p>
    <w:p w14:paraId="62E1F7C5" w14:textId="77777777" w:rsidR="00460B54" w:rsidRPr="00881587" w:rsidRDefault="00460B54" w:rsidP="00460B54">
      <w:pPr>
        <w:pStyle w:val="EMPIRnumberedlistlevel1"/>
        <w:tabs>
          <w:tab w:val="clear" w:pos="705"/>
        </w:tabs>
        <w:ind w:left="850" w:hanging="425"/>
      </w:pPr>
      <w:r w:rsidRPr="000E4049">
        <w:t xml:space="preserve">To develop highly accurate and fast simulation models of loss components for different types of infrared </w:t>
      </w:r>
      <w:r w:rsidRPr="00CF134B" w:rsidDel="00685E54">
        <w:t>photodiodes</w:t>
      </w:r>
      <w:r w:rsidRPr="00CF134B">
        <w:t xml:space="preserve"> and</w:t>
      </w:r>
      <w:r w:rsidRPr="000E4049">
        <w:t xml:space="preserve"> predict the responsivity based on independent characterisation techniques from 900 nm to at least 1600 nm, with a</w:t>
      </w:r>
      <w:r>
        <w:t xml:space="preserve"> standard</w:t>
      </w:r>
      <w:r w:rsidRPr="000E4049">
        <w:t xml:space="preserve"> uncertainty below 0.1 %.</w:t>
      </w:r>
      <w:r>
        <w:t xml:space="preserve"> (WP1)</w:t>
      </w:r>
    </w:p>
    <w:p w14:paraId="11EB3EC0" w14:textId="77777777" w:rsidR="00460B54" w:rsidRPr="00881587" w:rsidRDefault="00460B54" w:rsidP="00460B54">
      <w:pPr>
        <w:pStyle w:val="EMPIRnumberedlistlevel1"/>
        <w:tabs>
          <w:tab w:val="clear" w:pos="705"/>
        </w:tabs>
        <w:ind w:left="850" w:hanging="425"/>
      </w:pPr>
      <w:bookmarkStart w:id="0" w:name="_Hlk207111362"/>
      <w:r w:rsidRPr="000F2B23">
        <w:t xml:space="preserve">To develop an improved, simplified, self-calibrating and predictable spectral response scale in the infrared, from 900 nm to at least 1600 nm, based on available infrared photodiodes (e.g. </w:t>
      </w:r>
      <w:proofErr w:type="spellStart"/>
      <w:r w:rsidRPr="000F2B23">
        <w:t>InGaAs</w:t>
      </w:r>
      <w:proofErr w:type="spellEnd"/>
      <w:r w:rsidRPr="000F2B23">
        <w:t>, induced junction Ge), and able to operate at room temperature(s), with a</w:t>
      </w:r>
      <w:r>
        <w:t xml:space="preserve"> standard</w:t>
      </w:r>
      <w:r w:rsidRPr="000F2B23">
        <w:t xml:space="preserve"> uncertainty of 0.1 %.</w:t>
      </w:r>
      <w:r>
        <w:t xml:space="preserve"> </w:t>
      </w:r>
      <w:bookmarkEnd w:id="0"/>
      <w:r>
        <w:t>(WP2)</w:t>
      </w:r>
    </w:p>
    <w:p w14:paraId="08D2FABC" w14:textId="77777777" w:rsidR="00460B54" w:rsidRPr="00881587" w:rsidRDefault="00460B54" w:rsidP="00460B54">
      <w:pPr>
        <w:pStyle w:val="EMPIRnumberedlistlevel1"/>
        <w:tabs>
          <w:tab w:val="clear" w:pos="705"/>
        </w:tabs>
        <w:ind w:left="850" w:hanging="425"/>
      </w:pPr>
      <w:bookmarkStart w:id="1" w:name="_Hlk207111398"/>
      <w:r w:rsidRPr="007E615A">
        <w:t xml:space="preserve">To provide optical power traceability in PICs by </w:t>
      </w:r>
      <w:proofErr w:type="spellStart"/>
      <w:r w:rsidRPr="007E615A">
        <w:t>i</w:t>
      </w:r>
      <w:proofErr w:type="spellEnd"/>
      <w:r w:rsidRPr="007E615A">
        <w:t>) developing a Process Design Kit (PDK) with a PQED fully integrated in PICs for the spectral range from 500 nm to 900 nm and ii) carrying out the hybrid integration of the photodiodes from Objective 2 in programmable photonics at 1550 nm, with a</w:t>
      </w:r>
      <w:r>
        <w:t xml:space="preserve"> standard</w:t>
      </w:r>
      <w:r w:rsidRPr="007E615A">
        <w:t xml:space="preserve"> uncertainty of 1 %</w:t>
      </w:r>
      <w:bookmarkEnd w:id="1"/>
      <w:r w:rsidRPr="007E615A">
        <w:t>.</w:t>
      </w:r>
      <w:r>
        <w:t xml:space="preserve"> (WP3, WP5)</w:t>
      </w:r>
    </w:p>
    <w:p w14:paraId="20E9AD81" w14:textId="77777777" w:rsidR="00460B54" w:rsidRDefault="00460B54" w:rsidP="00460B54">
      <w:pPr>
        <w:pStyle w:val="EMPIRnumberedlistlevel1"/>
        <w:tabs>
          <w:tab w:val="clear" w:pos="705"/>
        </w:tabs>
        <w:ind w:left="850" w:hanging="425"/>
      </w:pPr>
      <w:r w:rsidRPr="007E615A">
        <w:t>To increase the TRL-level of PQEDs in the 300 - 1000 nm spectral region from 3 to at least 4, and to demonstrate the benefit of using the predictable self-calibrating photodiodes from Objective 2 and previous projects in end-user applications, such as providing traceability to spectral solar irradiance measurements from 300 nm to 1600 nm, to reduce the uncertainty of retrieved atmospheric trace gases and aerosol optical depth by shortening the traceability chain.</w:t>
      </w:r>
      <w:r>
        <w:t xml:space="preserve"> (WP4)</w:t>
      </w:r>
    </w:p>
    <w:p w14:paraId="3FB1F1F9" w14:textId="77777777" w:rsidR="00460B54" w:rsidRPr="00881587" w:rsidRDefault="00460B54" w:rsidP="00460B54">
      <w:pPr>
        <w:pStyle w:val="EMPIRnumberedlistlevel1"/>
        <w:tabs>
          <w:tab w:val="clear" w:pos="705"/>
        </w:tabs>
        <w:ind w:left="850" w:hanging="425"/>
        <w:rPr>
          <w:lang w:eastAsia="en-US"/>
        </w:rPr>
      </w:pPr>
      <w:r w:rsidRPr="007E615A">
        <w:t xml:space="preserve">To demonstrate the establishment of an integrated European metrology infrastructure and to facilitate the </w:t>
      </w:r>
      <w:r w:rsidRPr="00CF134B">
        <w:t>take-up</w:t>
      </w:r>
      <w:r w:rsidRPr="007E615A">
        <w:t xml:space="preserve"> of the technology and measurement infrastructure developed in the project by the measurement supply chain (accredited laboratories, instrument manufacturers), standards developing organisations (CIE), technical committees (e.g. EURAMET TC-PR, CCPR, IEC), and end users (photonics industry).</w:t>
      </w:r>
      <w:r>
        <w:t xml:space="preserve"> (WP6)</w:t>
      </w:r>
    </w:p>
    <w:p w14:paraId="6F57ABB9" w14:textId="77777777" w:rsidR="00C959D4" w:rsidRPr="00AD6A48" w:rsidRDefault="00C959D4" w:rsidP="001A695E">
      <w:pPr>
        <w:pStyle w:val="EMRPbodytext"/>
        <w:rPr>
          <w:b/>
        </w:rPr>
      </w:pPr>
    </w:p>
    <w:p w14:paraId="3535E159" w14:textId="77777777" w:rsidR="00931B29" w:rsidRPr="00AD6A48" w:rsidRDefault="00931B29" w:rsidP="00931B29">
      <w:pPr>
        <w:pStyle w:val="Topptekst"/>
        <w:tabs>
          <w:tab w:val="clear" w:pos="4536"/>
          <w:tab w:val="clear" w:pos="9072"/>
        </w:tabs>
        <w:rPr>
          <w:rFonts w:ascii="Arial" w:hAnsi="Arial"/>
          <w:b/>
        </w:rPr>
      </w:pPr>
      <w:r w:rsidRPr="00AD6A48">
        <w:rPr>
          <w:rFonts w:ascii="Arial" w:hAnsi="Arial"/>
          <w:b/>
        </w:rPr>
        <w:t>Progress beyond the state of the art and results</w:t>
      </w:r>
    </w:p>
    <w:p w14:paraId="4CD4C914" w14:textId="726FEDB8" w:rsidR="00296074" w:rsidRPr="00296074" w:rsidRDefault="00296074" w:rsidP="00296074">
      <w:pPr>
        <w:pStyle w:val="EMRPbodytext"/>
      </w:pPr>
      <w:r w:rsidRPr="00296074">
        <w:t>The project aims to advance infrared metrology by developing accurate models and self-calibrating technologies for germanium (Ge) photodiodes operating from 900 nm to 1600 nm with a standard uncertainty below 0.1%.</w:t>
      </w:r>
      <w:r w:rsidRPr="00296074">
        <w:rPr>
          <w:rFonts w:ascii="Segoe UI" w:hAnsi="Segoe UI" w:cs="Segoe UI"/>
          <w:sz w:val="21"/>
          <w:szCs w:val="21"/>
          <w:lang w:eastAsia="nb-NO"/>
        </w:rPr>
        <w:t xml:space="preserve"> </w:t>
      </w:r>
      <w:r>
        <w:rPr>
          <w:rFonts w:ascii="Segoe UI" w:hAnsi="Segoe UI" w:cs="Segoe UI"/>
          <w:sz w:val="21"/>
          <w:szCs w:val="21"/>
          <w:lang w:eastAsia="nb-NO"/>
        </w:rPr>
        <w:t xml:space="preserve">It also aims to </w:t>
      </w:r>
      <w:r w:rsidRPr="00296074">
        <w:t>establish optical power traceability in photonic integrated circuits (PICs) and improve calibration methods for advanced applications.</w:t>
      </w:r>
    </w:p>
    <w:p w14:paraId="04522A8B" w14:textId="4D0C6482" w:rsidR="00296074" w:rsidRPr="00296074" w:rsidRDefault="00296074" w:rsidP="00296074">
      <w:pPr>
        <w:pStyle w:val="EMRPbodytext"/>
      </w:pPr>
      <w:r w:rsidRPr="00296074">
        <w:rPr>
          <w:b/>
          <w:bCs/>
        </w:rPr>
        <w:t>Objective 1</w:t>
      </w:r>
      <w:r w:rsidRPr="00296074">
        <w:t xml:space="preserve"> focuses on creating high-accuracy 3D physical models of Ge photodiodes’ internal quantum deficiency (IQD), supported by measurements and High-Performance Computing (HPC) to accelerate simulations. These models will serve as digital twins for individual detectors, enabling precise characterization. Simplified 1D models will also be developed for practical use, reducing computation time from days to minutes. The approach builds on successful </w:t>
      </w:r>
      <w:r w:rsidR="00FC5DC7" w:rsidRPr="00296074">
        <w:t>modelling</w:t>
      </w:r>
      <w:r w:rsidRPr="00296074">
        <w:t xml:space="preserve"> of silicon photodiodes in previous projects and leverages the simple structure of induced junction Ge photodiodes for high accuracy</w:t>
      </w:r>
      <w:r w:rsidR="009525A7">
        <w:t xml:space="preserve"> </w:t>
      </w:r>
      <w:r w:rsidR="005C6A15">
        <w:t>applications</w:t>
      </w:r>
      <w:r w:rsidRPr="00296074">
        <w:t>.</w:t>
      </w:r>
    </w:p>
    <w:p w14:paraId="5F36B84A" w14:textId="6AB89CC0" w:rsidR="00296074" w:rsidRPr="00296074" w:rsidRDefault="00296074" w:rsidP="00296074">
      <w:pPr>
        <w:pStyle w:val="EMRPbodytext"/>
      </w:pPr>
      <w:r w:rsidRPr="00296074">
        <w:rPr>
          <w:b/>
          <w:bCs/>
        </w:rPr>
        <w:t>Objective 2</w:t>
      </w:r>
      <w:r w:rsidRPr="00296074">
        <w:t xml:space="preserve"> targets an improved, predictable spectral response scale in the infrared using induced junction black Germanium (</w:t>
      </w:r>
      <w:proofErr w:type="spellStart"/>
      <w:r w:rsidRPr="00296074">
        <w:t>bGe</w:t>
      </w:r>
      <w:proofErr w:type="spellEnd"/>
      <w:r w:rsidRPr="00296074">
        <w:t xml:space="preserve">) and planar Ge photodiodes. Current methods rely on </w:t>
      </w:r>
      <w:proofErr w:type="spellStart"/>
      <w:r w:rsidRPr="00296074">
        <w:t>InGaAs</w:t>
      </w:r>
      <w:proofErr w:type="spellEnd"/>
      <w:r w:rsidRPr="00296074">
        <w:t xml:space="preserve"> detectors calibrated against cryogenic radiometers at discrete wavelengths, achieving ~0.3% uncertainty—insufficient for demanding applications like Earth energy imbalance (EEI) measurements. By combining physical models with experimental data, the project aims to minimize calibration points, potentially to a single wavelength, while maintaining accuracy</w:t>
      </w:r>
      <w:r w:rsidR="00384C56">
        <w:t xml:space="preserve"> over the full spectral range</w:t>
      </w:r>
      <w:r w:rsidRPr="00296074">
        <w:t>.</w:t>
      </w:r>
    </w:p>
    <w:p w14:paraId="5148C5A6" w14:textId="53C67022" w:rsidR="00296074" w:rsidRDefault="00296074" w:rsidP="00296074">
      <w:pPr>
        <w:pStyle w:val="EMRPbodytext"/>
      </w:pPr>
      <w:r w:rsidRPr="00296074">
        <w:t xml:space="preserve">The project will also adapt dual-mode self-calibration technology, previously demonstrated for silicon, to Ge photodiodes. This method, expected to surpass current IR standards, will enable robust traceability and integrated calibration in remote systems. The structured surface of </w:t>
      </w:r>
      <w:proofErr w:type="spellStart"/>
      <w:r w:rsidRPr="00296074">
        <w:t>bGe</w:t>
      </w:r>
      <w:proofErr w:type="spellEnd"/>
      <w:r w:rsidRPr="00296074">
        <w:t xml:space="preserve"> photodiodes reduces reflectance, allowing them to function as reliable standard detectors. These innovations will benefit space missions</w:t>
      </w:r>
      <w:r w:rsidR="007B6C22">
        <w:t>, programmable PICs</w:t>
      </w:r>
      <w:r w:rsidRPr="00296074">
        <w:t xml:space="preserve"> and other advanced applications requiring ultra-low uncertainty</w:t>
      </w:r>
      <w:r>
        <w:t>.</w:t>
      </w:r>
    </w:p>
    <w:p w14:paraId="31C0D01D" w14:textId="0675F407" w:rsidR="00296074" w:rsidRPr="00296074" w:rsidRDefault="00296074" w:rsidP="00296074">
      <w:pPr>
        <w:pStyle w:val="EMRPbodytext"/>
      </w:pPr>
      <w:r w:rsidRPr="00296074">
        <w:rPr>
          <w:b/>
          <w:bCs/>
        </w:rPr>
        <w:t>Objective 3</w:t>
      </w:r>
      <w:r w:rsidRPr="00296074">
        <w:t xml:space="preserve"> focuses on developing a Process Design Kit (PDK) that integrates Predictable Quantum Efficient Detectors (PQEDs) into PICs for the 500–900 nm range, enabling on-chip SI-traceable optical power </w:t>
      </w:r>
      <w:r w:rsidRPr="00296074">
        <w:lastRenderedPageBreak/>
        <w:t xml:space="preserve">measurements. This innovation addresses a major gap, as current metrology only supports </w:t>
      </w:r>
      <w:proofErr w:type="spellStart"/>
      <w:r w:rsidRPr="00296074">
        <w:t>fiber</w:t>
      </w:r>
      <w:proofErr w:type="spellEnd"/>
      <w:r w:rsidRPr="00296074">
        <w:t>-coupled traceability, leaving</w:t>
      </w:r>
      <w:r w:rsidR="00EE527C">
        <w:t xml:space="preserve"> on-chip</w:t>
      </w:r>
      <w:r w:rsidRPr="00296074">
        <w:t xml:space="preserve"> integrated systems without reliable calibration. The PDK will serve as a reusable solution for advanced sensing systems, ensuring product quality and measurement accuracy with a target uncertainty of 1%. Additionally, the project will support programmable PICs (</w:t>
      </w:r>
      <w:proofErr w:type="spellStart"/>
      <w:r w:rsidRPr="00296074">
        <w:t>pPICs</w:t>
      </w:r>
      <w:proofErr w:type="spellEnd"/>
      <w:r w:rsidRPr="00296074">
        <w:t>) at 1550 nm by hybrid integration of photodiodes from Objective 2. These reconfigurable devices reduce development costs but require precise calibration to account for configuration sensitivity and propagation losses. The low reflectance and flip-chip compatibility of black Germanium (</w:t>
      </w:r>
      <w:proofErr w:type="spellStart"/>
      <w:r w:rsidRPr="00296074">
        <w:t>bGe</w:t>
      </w:r>
      <w:proofErr w:type="spellEnd"/>
      <w:r w:rsidRPr="00296074">
        <w:t>) detectors make them ideal for integration</w:t>
      </w:r>
      <w:r w:rsidR="0043689F">
        <w:t xml:space="preserve"> with </w:t>
      </w:r>
      <w:proofErr w:type="spellStart"/>
      <w:r w:rsidR="003F5EE9">
        <w:t>pPICs</w:t>
      </w:r>
      <w:proofErr w:type="spellEnd"/>
      <w:r w:rsidRPr="00296074">
        <w:t>.</w:t>
      </w:r>
    </w:p>
    <w:p w14:paraId="4CFCB4F6" w14:textId="57321A91" w:rsidR="00296074" w:rsidRPr="00296074" w:rsidRDefault="00296074" w:rsidP="00296074">
      <w:pPr>
        <w:pStyle w:val="EMRPbodytext"/>
      </w:pPr>
      <w:r w:rsidRPr="00296074">
        <w:rPr>
          <w:b/>
          <w:bCs/>
        </w:rPr>
        <w:t>Objective 4</w:t>
      </w:r>
      <w:r w:rsidRPr="00296074">
        <w:t xml:space="preserve"> aims to raise the Technology Readiness Level (TRL) of PQEDs in the 300–1000 nm range and demonstrate their benefits in end-user applications, such as solar irradiance measurements. Current methods rely on tungsten-halogen lamps and long calibration chains, resulting in 0.6% </w:t>
      </w:r>
      <w:r w:rsidR="006327D7">
        <w:t xml:space="preserve">relative </w:t>
      </w:r>
      <w:r w:rsidRPr="00296074">
        <w:t xml:space="preserve">uncertainty—insufficient for climate monitoring. The project proposes a portable </w:t>
      </w:r>
      <w:proofErr w:type="spellStart"/>
      <w:r w:rsidRPr="00296074">
        <w:t>tunable</w:t>
      </w:r>
      <w:proofErr w:type="spellEnd"/>
      <w:r w:rsidRPr="00296074">
        <w:t xml:space="preserve"> source combined with PQEDs to reduce uncertainty to 0.3%, improving traceability and shortening calibration chains. This approach will enhance atmospheric trace gas and aerosol measurements and promote PQED adoption in Earth observation and space missions.</w:t>
      </w:r>
    </w:p>
    <w:p w14:paraId="3DD10D22" w14:textId="77777777" w:rsidR="00C959D4" w:rsidRPr="00AD6A48" w:rsidRDefault="00C959D4" w:rsidP="001A695E">
      <w:pPr>
        <w:pStyle w:val="EMRPbodytext"/>
      </w:pPr>
    </w:p>
    <w:p w14:paraId="09673CBE" w14:textId="07B59BC1" w:rsidR="004F4E51" w:rsidRPr="00AD6A48" w:rsidRDefault="00E44350">
      <w:pPr>
        <w:pStyle w:val="Topptekst"/>
        <w:tabs>
          <w:tab w:val="clear" w:pos="4536"/>
          <w:tab w:val="clear" w:pos="9072"/>
        </w:tabs>
        <w:rPr>
          <w:rFonts w:ascii="Arial" w:hAnsi="Arial"/>
          <w:b/>
        </w:rPr>
      </w:pPr>
      <w:r w:rsidRPr="00AD6A48">
        <w:rPr>
          <w:rFonts w:ascii="Arial" w:hAnsi="Arial"/>
          <w:b/>
        </w:rPr>
        <w:t>Outcomes and impact</w:t>
      </w:r>
    </w:p>
    <w:p w14:paraId="6760A7E2" w14:textId="43A96B3C" w:rsidR="00BB6958" w:rsidRPr="00A75A01" w:rsidRDefault="001E3094" w:rsidP="00BB6958">
      <w:pPr>
        <w:pStyle w:val="EMRPbodytext"/>
        <w:rPr>
          <w:rFonts w:cs="Arial"/>
          <w:u w:val="single"/>
        </w:rPr>
      </w:pPr>
      <w:r w:rsidRPr="001E3094">
        <w:rPr>
          <w:rFonts w:cs="Arial"/>
          <w:u w:val="single"/>
        </w:rPr>
        <w:t>Key dissemination and communication activities</w:t>
      </w:r>
    </w:p>
    <w:p w14:paraId="02156E7C" w14:textId="77777777" w:rsidR="00BB6958" w:rsidRPr="00AD6A48" w:rsidRDefault="00BB6958" w:rsidP="00BB6958">
      <w:pPr>
        <w:pStyle w:val="EMRPbodytext"/>
        <w:rPr>
          <w:rFonts w:cs="Arial"/>
        </w:rPr>
      </w:pPr>
    </w:p>
    <w:p w14:paraId="6EB37AFF" w14:textId="4160F3EE" w:rsidR="0055221D" w:rsidRPr="00AD6A48" w:rsidRDefault="00E44350" w:rsidP="001A695E">
      <w:pPr>
        <w:pStyle w:val="EMRPbodytext"/>
        <w:rPr>
          <w:rFonts w:eastAsiaTheme="minorHAnsi" w:cs="Arial"/>
          <w:b/>
          <w:u w:val="single"/>
        </w:rPr>
      </w:pPr>
      <w:r w:rsidRPr="00AD6A48">
        <w:rPr>
          <w:rFonts w:eastAsiaTheme="minorHAnsi" w:cs="Arial"/>
          <w:u w:val="single"/>
        </w:rPr>
        <w:t>Outcomes for</w:t>
      </w:r>
      <w:r w:rsidR="0055221D" w:rsidRPr="00AD6A48">
        <w:rPr>
          <w:rFonts w:eastAsiaTheme="minorHAnsi" w:cs="Arial"/>
          <w:u w:val="single"/>
        </w:rPr>
        <w:t xml:space="preserve"> industrial and other user communities </w:t>
      </w:r>
    </w:p>
    <w:p w14:paraId="62879470" w14:textId="77777777" w:rsidR="00FC2F5B" w:rsidRPr="00FC2F5B" w:rsidRDefault="00FC2F5B" w:rsidP="00FC2F5B">
      <w:pPr>
        <w:pStyle w:val="EMRPbodytext"/>
        <w:rPr>
          <w:rFonts w:cs="Arial"/>
        </w:rPr>
      </w:pPr>
      <w:r w:rsidRPr="00FC2F5B">
        <w:rPr>
          <w:rFonts w:cs="Arial"/>
        </w:rPr>
        <w:t>The project will deliver significant benefits across multiple sectors by enabling maintenance-free, self-calibrating sensors with high quantum efficiency—meeting Photonics21’s strategic roadmap targets for 2021–2027. Photonic sensors are critical in industries such as healthcare, automotive, and surveillance, forming a multi-billion-euro market. Improved metrology and simplified traceability will enhance efficiency, resilience, and competitiveness, giving European industry a strong advantage in innovation and quality assurance. Miniaturized diagnostic instruments in healthcare will gain integrated calibration references, improving reliability and confidence in analytical results.</w:t>
      </w:r>
    </w:p>
    <w:p w14:paraId="0656785D" w14:textId="77777777" w:rsidR="00FC2F5B" w:rsidRPr="00FC2F5B" w:rsidRDefault="00FC2F5B" w:rsidP="00FC2F5B">
      <w:pPr>
        <w:pStyle w:val="EMRPbodytext"/>
        <w:rPr>
          <w:rFonts w:cs="Arial"/>
        </w:rPr>
      </w:pPr>
      <w:r w:rsidRPr="00FC2F5B">
        <w:rPr>
          <w:rFonts w:cs="Arial"/>
        </w:rPr>
        <w:t>In quantum technologies, photonics is essential for single-photon sources and detectors. PICs provide an ideal platform for integrating these components, and this project complements ongoing efforts by extending functionality across a wider dynamic range.</w:t>
      </w:r>
    </w:p>
    <w:p w14:paraId="3E543BF0" w14:textId="77777777" w:rsidR="00FC2F5B" w:rsidRPr="00FC2F5B" w:rsidRDefault="00FC2F5B" w:rsidP="00FC2F5B">
      <w:pPr>
        <w:pStyle w:val="EMRPbodytext"/>
        <w:rPr>
          <w:rFonts w:cs="Arial"/>
        </w:rPr>
      </w:pPr>
      <w:r w:rsidRPr="00FC2F5B">
        <w:rPr>
          <w:rFonts w:cs="Arial"/>
        </w:rPr>
        <w:t>Environmental monitoring will also benefit significantly. About two-thirds of Essential Climate Variables (ECVs) rely on optical measurements, requiring long-term SI-traceable data to detect subtle climate trends. Self-calibrating instruments operating autonomously in the field will meet this need, improving Earth observation data quality and confidence in climate-related decisions.</w:t>
      </w:r>
    </w:p>
    <w:p w14:paraId="408C29D9" w14:textId="77777777" w:rsidR="00FC2F5B" w:rsidRPr="00FC2F5B" w:rsidRDefault="00FC2F5B" w:rsidP="00FC2F5B">
      <w:pPr>
        <w:pStyle w:val="EMRPbodytext"/>
        <w:rPr>
          <w:rFonts w:cs="Arial"/>
        </w:rPr>
      </w:pPr>
      <w:r w:rsidRPr="00FC2F5B">
        <w:rPr>
          <w:rFonts w:cs="Arial"/>
        </w:rPr>
        <w:t>Finally, the technology’s small footprint and ability to operate in vacuum at room temperature make it highly attractive for small satellite missions, where integrated calibration references are critical for remote sensing applications.</w:t>
      </w:r>
    </w:p>
    <w:p w14:paraId="07EB1BE4" w14:textId="54663E26" w:rsidR="0055221D" w:rsidRPr="00AD6A48" w:rsidRDefault="00E44350" w:rsidP="001A695E">
      <w:pPr>
        <w:pStyle w:val="EMRPbodytext"/>
        <w:rPr>
          <w:rFonts w:cs="Arial"/>
          <w:b/>
          <w:u w:val="single"/>
        </w:rPr>
      </w:pPr>
      <w:r w:rsidRPr="00AD6A48">
        <w:rPr>
          <w:rFonts w:eastAsiaTheme="minorHAnsi" w:cs="Arial"/>
          <w:u w:val="single"/>
        </w:rPr>
        <w:t xml:space="preserve">Outcomes for </w:t>
      </w:r>
      <w:r w:rsidR="0055221D" w:rsidRPr="00AD6A48">
        <w:rPr>
          <w:rFonts w:cs="Arial"/>
          <w:u w:val="single"/>
        </w:rPr>
        <w:t xml:space="preserve">the metrology and scientific communities </w:t>
      </w:r>
    </w:p>
    <w:p w14:paraId="210EB4D0" w14:textId="1C603D70" w:rsidR="00C6662B" w:rsidRPr="00C6662B" w:rsidRDefault="00C6662B" w:rsidP="00C6662B">
      <w:pPr>
        <w:pStyle w:val="EMRPbodytext"/>
        <w:rPr>
          <w:rFonts w:cs="Arial"/>
        </w:rPr>
      </w:pPr>
      <w:r w:rsidRPr="00C6662B">
        <w:rPr>
          <w:rFonts w:cs="Arial"/>
        </w:rPr>
        <w:t>This project will deliver transformative benefits to the metrology community by extending predictable, self-calibrating techniques into the infrared (IR) range, complementing previous advances in UV and visible wavelengths. A successful outcome will provide a continuous, predictable spectral response scale from 200 nm to 1600 nm with unprecedented accuracy and simplified implementation. This will reduce calibration effort, minimize the number of required wavelengths and improve global consistency in spectral response measurements.</w:t>
      </w:r>
    </w:p>
    <w:p w14:paraId="4C3B65F4" w14:textId="737BDE66" w:rsidR="00C6662B" w:rsidRPr="00C6662B" w:rsidRDefault="00C6662B" w:rsidP="00C6662B">
      <w:pPr>
        <w:pStyle w:val="EMRPbodytext"/>
        <w:rPr>
          <w:rFonts w:cs="Arial"/>
        </w:rPr>
      </w:pPr>
      <w:r w:rsidRPr="00C6662B">
        <w:rPr>
          <w:rFonts w:cs="Arial"/>
        </w:rPr>
        <w:t xml:space="preserve">The development of </w:t>
      </w:r>
      <w:proofErr w:type="gramStart"/>
      <w:r w:rsidRPr="00C6662B">
        <w:rPr>
          <w:rFonts w:cs="Arial"/>
        </w:rPr>
        <w:t>high-accuracy</w:t>
      </w:r>
      <w:proofErr w:type="gramEnd"/>
      <w:r w:rsidRPr="00C6662B">
        <w:rPr>
          <w:rFonts w:cs="Arial"/>
        </w:rPr>
        <w:t>, miniaturized standard detectors will enable integration into classical and emerging measurement systems, enhancing traceability for IR technologies such as thermography, digital communications and Earth observation. By leveraging intrinsic photodiode properties and proven concepts from earlier projects, the initiative supports an internationally coordinated Integrated European Metrology (IEM) landscape, fostering collaboration among NMIs of all sizes.</w:t>
      </w:r>
    </w:p>
    <w:p w14:paraId="1DC32C0B" w14:textId="73CE7850" w:rsidR="00C6662B" w:rsidRPr="00C6662B" w:rsidRDefault="00C6662B" w:rsidP="00C6662B">
      <w:pPr>
        <w:pStyle w:val="EMRPbodytext"/>
        <w:rPr>
          <w:rFonts w:cs="Arial"/>
        </w:rPr>
      </w:pPr>
      <w:r w:rsidRPr="00C6662B">
        <w:rPr>
          <w:rFonts w:cs="Arial"/>
        </w:rPr>
        <w:t>The concept of “NMI-on-a-chip” will take metrology beyond laboratory settings into compact, integrated systems, serving new domains like quantum technology and photonic integrated circuits. These advancements will accelerate standardization efforts and make adoption easier across industries</w:t>
      </w:r>
      <w:r w:rsidR="006C2CBC">
        <w:rPr>
          <w:rFonts w:cs="Arial"/>
        </w:rPr>
        <w:t>. The</w:t>
      </w:r>
      <w:r w:rsidRPr="00C6662B">
        <w:rPr>
          <w:rFonts w:cs="Arial"/>
        </w:rPr>
        <w:t xml:space="preserve"> project </w:t>
      </w:r>
      <w:r w:rsidR="006C2CBC">
        <w:rPr>
          <w:rFonts w:cs="Arial"/>
        </w:rPr>
        <w:t>i</w:t>
      </w:r>
      <w:r w:rsidRPr="00C6662B">
        <w:rPr>
          <w:rFonts w:cs="Arial"/>
        </w:rPr>
        <w:t xml:space="preserve">s critical for </w:t>
      </w:r>
      <w:r w:rsidRPr="00C6662B">
        <w:rPr>
          <w:rFonts w:cs="Arial"/>
        </w:rPr>
        <w:lastRenderedPageBreak/>
        <w:t>strengthening Europe’s leadership in metrology and supporting innovation in diagnostics, industrial manufacturing, and environmental monitoring.</w:t>
      </w:r>
    </w:p>
    <w:p w14:paraId="5D7273D6" w14:textId="3639F9F7" w:rsidR="0055221D" w:rsidRPr="00AD6A48" w:rsidRDefault="00E44350" w:rsidP="001A695E">
      <w:pPr>
        <w:pStyle w:val="EMRPbodytext"/>
        <w:rPr>
          <w:rFonts w:cs="Arial"/>
          <w:b/>
          <w:u w:val="single"/>
        </w:rPr>
      </w:pPr>
      <w:r w:rsidRPr="00AD6A48">
        <w:rPr>
          <w:rFonts w:eastAsiaTheme="minorHAnsi" w:cs="Arial"/>
          <w:u w:val="single"/>
        </w:rPr>
        <w:t xml:space="preserve">Outcomes for </w:t>
      </w:r>
      <w:r w:rsidR="0055221D" w:rsidRPr="00AD6A48">
        <w:rPr>
          <w:rFonts w:cs="Arial"/>
          <w:u w:val="single"/>
        </w:rPr>
        <w:t>relevant standards</w:t>
      </w:r>
    </w:p>
    <w:p w14:paraId="6ED9B83F" w14:textId="78D94151" w:rsidR="00FC3899" w:rsidRPr="000331A6" w:rsidRDefault="00FC3899" w:rsidP="00FC3899">
      <w:pPr>
        <w:pStyle w:val="EMPIRdeltabletext"/>
        <w:jc w:val="both"/>
        <w:rPr>
          <w:sz w:val="20"/>
          <w:szCs w:val="20"/>
        </w:rPr>
      </w:pPr>
      <w:r w:rsidRPr="000331A6">
        <w:rPr>
          <w:sz w:val="20"/>
          <w:szCs w:val="20"/>
        </w:rPr>
        <w:t xml:space="preserve">The research project deals with topics that are very important to the CIE. The output of the project, will actively benefit work in the CIE across several </w:t>
      </w:r>
      <w:r w:rsidR="00697CAD">
        <w:rPr>
          <w:sz w:val="20"/>
          <w:szCs w:val="20"/>
        </w:rPr>
        <w:t xml:space="preserve">of its </w:t>
      </w:r>
      <w:r w:rsidRPr="000331A6">
        <w:rPr>
          <w:sz w:val="20"/>
          <w:szCs w:val="20"/>
        </w:rPr>
        <w:t xml:space="preserve">Research Strategy themes: </w:t>
      </w:r>
    </w:p>
    <w:p w14:paraId="317E4066" w14:textId="49C60DA0" w:rsidR="00FC3899" w:rsidRPr="000331A6" w:rsidRDefault="00FC3899" w:rsidP="00FC3899">
      <w:pPr>
        <w:pStyle w:val="EMPIRdeltabletext"/>
        <w:jc w:val="both"/>
        <w:rPr>
          <w:sz w:val="20"/>
          <w:szCs w:val="20"/>
        </w:rPr>
      </w:pPr>
      <w:r w:rsidRPr="000331A6">
        <w:rPr>
          <w:sz w:val="20"/>
          <w:szCs w:val="20"/>
        </w:rPr>
        <w:t>•</w:t>
      </w:r>
      <w:r w:rsidR="00697CAD">
        <w:rPr>
          <w:sz w:val="20"/>
          <w:szCs w:val="20"/>
        </w:rPr>
        <w:t xml:space="preserve"> </w:t>
      </w:r>
      <w:r w:rsidRPr="000331A6">
        <w:rPr>
          <w:sz w:val="20"/>
          <w:szCs w:val="20"/>
        </w:rPr>
        <w:t xml:space="preserve">Overarching theme 1.1 Digital transformation of metrology, science, and industry </w:t>
      </w:r>
    </w:p>
    <w:p w14:paraId="5379581A" w14:textId="71F8F59D" w:rsidR="00FC3899" w:rsidRPr="000331A6" w:rsidRDefault="00FC3899" w:rsidP="00FC3899">
      <w:pPr>
        <w:pStyle w:val="EMPIRdeltabletext"/>
        <w:jc w:val="both"/>
        <w:rPr>
          <w:sz w:val="20"/>
          <w:szCs w:val="20"/>
        </w:rPr>
      </w:pPr>
      <w:r w:rsidRPr="000331A6">
        <w:rPr>
          <w:sz w:val="20"/>
          <w:szCs w:val="20"/>
        </w:rPr>
        <w:t xml:space="preserve">•Topical theme 2.2: Advances in measurement and calibration </w:t>
      </w:r>
    </w:p>
    <w:p w14:paraId="7135CF7C" w14:textId="75E41351" w:rsidR="00FC3899" w:rsidRPr="000331A6" w:rsidRDefault="00FC3899" w:rsidP="00FC3899">
      <w:pPr>
        <w:pStyle w:val="EMPIRdeltabletext"/>
        <w:jc w:val="both"/>
        <w:rPr>
          <w:sz w:val="20"/>
          <w:szCs w:val="20"/>
        </w:rPr>
      </w:pPr>
      <w:r w:rsidRPr="000331A6">
        <w:rPr>
          <w:sz w:val="20"/>
          <w:szCs w:val="20"/>
        </w:rPr>
        <w:t>•</w:t>
      </w:r>
      <w:r w:rsidR="00697CAD">
        <w:rPr>
          <w:sz w:val="20"/>
          <w:szCs w:val="20"/>
        </w:rPr>
        <w:t xml:space="preserve"> </w:t>
      </w:r>
      <w:r w:rsidRPr="000331A6">
        <w:rPr>
          <w:sz w:val="20"/>
          <w:szCs w:val="20"/>
        </w:rPr>
        <w:t xml:space="preserve">Topical theme 2.4: Fundamentals of photobiology for agriculture and aquaculture </w:t>
      </w:r>
    </w:p>
    <w:p w14:paraId="3865B36B" w14:textId="6EE32A4E" w:rsidR="00FC3899" w:rsidRPr="000331A6" w:rsidRDefault="00FC3899" w:rsidP="00FC3899">
      <w:pPr>
        <w:pStyle w:val="EMPIRdeltabletext"/>
        <w:jc w:val="both"/>
        <w:rPr>
          <w:sz w:val="20"/>
          <w:szCs w:val="20"/>
        </w:rPr>
      </w:pPr>
      <w:r w:rsidRPr="000331A6">
        <w:rPr>
          <w:sz w:val="20"/>
          <w:szCs w:val="20"/>
        </w:rPr>
        <w:t xml:space="preserve">• Topical theme 2.5: Enabling the application of safe and beneficial optical radiation. </w:t>
      </w:r>
    </w:p>
    <w:p w14:paraId="30A0F4F3" w14:textId="0F57CD89" w:rsidR="00FC3899" w:rsidRPr="000331A6" w:rsidRDefault="00FC3899" w:rsidP="00FC3899">
      <w:pPr>
        <w:pStyle w:val="EMPIRdeltabletext"/>
        <w:jc w:val="both"/>
        <w:rPr>
          <w:sz w:val="20"/>
          <w:szCs w:val="20"/>
        </w:rPr>
      </w:pPr>
      <w:r w:rsidRPr="000331A6">
        <w:rPr>
          <w:sz w:val="20"/>
          <w:szCs w:val="20"/>
        </w:rPr>
        <w:t xml:space="preserve">In addition to contributing to the existing work programmes outlined above, the outcomes of the project could result in new Technical Committees, Research Fora or Division </w:t>
      </w:r>
      <w:proofErr w:type="spellStart"/>
      <w:r w:rsidRPr="000331A6">
        <w:rPr>
          <w:sz w:val="20"/>
          <w:szCs w:val="20"/>
        </w:rPr>
        <w:t>Reporterships</w:t>
      </w:r>
      <w:proofErr w:type="spellEnd"/>
      <w:r w:rsidRPr="000331A6">
        <w:rPr>
          <w:sz w:val="20"/>
          <w:szCs w:val="20"/>
        </w:rPr>
        <w:t xml:space="preserve"> such as: </w:t>
      </w:r>
    </w:p>
    <w:p w14:paraId="29E1E964" w14:textId="77777777" w:rsidR="00FC3899" w:rsidRPr="000331A6" w:rsidRDefault="00FC3899" w:rsidP="00FC3899">
      <w:pPr>
        <w:pStyle w:val="EMPIRdeltabletext"/>
        <w:jc w:val="both"/>
        <w:rPr>
          <w:sz w:val="20"/>
          <w:szCs w:val="20"/>
        </w:rPr>
      </w:pPr>
      <w:r w:rsidRPr="000331A6">
        <w:rPr>
          <w:sz w:val="20"/>
          <w:szCs w:val="20"/>
        </w:rPr>
        <w:t xml:space="preserve"> •Possible establishment of a new CIE Technical Committee on Self-calibrating photodiodes for integrated and infrared </w:t>
      </w:r>
      <w:proofErr w:type="gramStart"/>
      <w:r w:rsidRPr="000331A6">
        <w:rPr>
          <w:sz w:val="20"/>
          <w:szCs w:val="20"/>
        </w:rPr>
        <w:t>technologies;</w:t>
      </w:r>
      <w:proofErr w:type="gramEnd"/>
      <w:r w:rsidRPr="000331A6">
        <w:rPr>
          <w:sz w:val="20"/>
          <w:szCs w:val="20"/>
        </w:rPr>
        <w:t xml:space="preserve"> </w:t>
      </w:r>
    </w:p>
    <w:p w14:paraId="2ED3AAF6" w14:textId="09952E77" w:rsidR="0055221D" w:rsidRDefault="00FC3899" w:rsidP="00FC3899">
      <w:pPr>
        <w:pStyle w:val="EMRPbodytext"/>
      </w:pPr>
      <w:r w:rsidRPr="000331A6">
        <w:t xml:space="preserve">•Possible initiation of a Research Forum on Advances in measurement, calibration and metrological traceability. </w:t>
      </w:r>
    </w:p>
    <w:p w14:paraId="4B0D418E" w14:textId="7CA38A22" w:rsidR="00B526B3" w:rsidRDefault="00B526B3" w:rsidP="00FC3899">
      <w:pPr>
        <w:pStyle w:val="EMRPbodytext"/>
      </w:pPr>
      <w:r>
        <w:t xml:space="preserve">Within the </w:t>
      </w:r>
      <w:r w:rsidR="0088179F">
        <w:t xml:space="preserve">strategic planning </w:t>
      </w:r>
      <w:r w:rsidR="00340A88">
        <w:t xml:space="preserve">for the consultative committee </w:t>
      </w:r>
      <w:r w:rsidR="0011235D">
        <w:t>for</w:t>
      </w:r>
      <w:r w:rsidR="00340A88">
        <w:t xml:space="preserve"> photometry and radiometry (</w:t>
      </w:r>
      <w:r w:rsidR="0088179F">
        <w:t>CCPR</w:t>
      </w:r>
      <w:r w:rsidR="00340A88">
        <w:t>)</w:t>
      </w:r>
      <w:r w:rsidR="0011235D">
        <w:t xml:space="preserve">, the project </w:t>
      </w:r>
      <w:r w:rsidR="004B3CC2">
        <w:t>is of interest to the following committees:</w:t>
      </w:r>
    </w:p>
    <w:p w14:paraId="647D25A1" w14:textId="77777777" w:rsidR="00F103DD" w:rsidRDefault="00F103DD" w:rsidP="00F103DD">
      <w:pPr>
        <w:pStyle w:val="EMPIRdeltabletext"/>
        <w:jc w:val="both"/>
      </w:pPr>
      <w:r>
        <w:t>TG7 – Discussion Forum on Few-photon Metrology</w:t>
      </w:r>
    </w:p>
    <w:p w14:paraId="30196DA7" w14:textId="77777777" w:rsidR="00F103DD" w:rsidRDefault="00F103DD" w:rsidP="00F103DD">
      <w:pPr>
        <w:pStyle w:val="EMPIRdeltabletext"/>
        <w:jc w:val="both"/>
      </w:pPr>
      <w:r>
        <w:t>TG10 – Task Group on the Strategy document</w:t>
      </w:r>
    </w:p>
    <w:p w14:paraId="5A90632D" w14:textId="77777777" w:rsidR="00F103DD" w:rsidRDefault="00F103DD" w:rsidP="00F103DD">
      <w:pPr>
        <w:pStyle w:val="EMPIRdeltabletext"/>
        <w:jc w:val="both"/>
      </w:pPr>
      <w:r>
        <w:t>TG13 – Task Group on Optical Fibre Power Responsivity</w:t>
      </w:r>
    </w:p>
    <w:p w14:paraId="7039A86F" w14:textId="77777777" w:rsidR="00F103DD" w:rsidRDefault="00F103DD" w:rsidP="00F103DD">
      <w:pPr>
        <w:pStyle w:val="EMPIRdeltabletext"/>
        <w:jc w:val="both"/>
      </w:pPr>
      <w:r>
        <w:t xml:space="preserve">TG15 – Task Group on the impact of </w:t>
      </w:r>
      <w:r w:rsidRPr="00CF134B">
        <w:t xml:space="preserve">digitalisation </w:t>
      </w:r>
      <w:r>
        <w:t>on matters related to the CCPR</w:t>
      </w:r>
    </w:p>
    <w:p w14:paraId="6EFFAA86" w14:textId="77777777" w:rsidR="00F103DD" w:rsidRDefault="00F103DD" w:rsidP="00F103DD">
      <w:pPr>
        <w:pStyle w:val="EMPIRdeltabletext"/>
        <w:jc w:val="both"/>
      </w:pPr>
      <w:r>
        <w:t>TG17 – Discussion Forum on Metrology for satellite observations</w:t>
      </w:r>
    </w:p>
    <w:p w14:paraId="474C5DBE" w14:textId="0D3D76A6" w:rsidR="0055221D" w:rsidRPr="00AD6A48" w:rsidRDefault="0055221D" w:rsidP="001A695E">
      <w:pPr>
        <w:pStyle w:val="EMRPbodytext"/>
        <w:rPr>
          <w:rFonts w:cs="Arial"/>
          <w:u w:val="single"/>
        </w:rPr>
      </w:pPr>
      <w:r w:rsidRPr="00AD6A48">
        <w:rPr>
          <w:rFonts w:cs="Arial"/>
          <w:u w:val="single"/>
        </w:rPr>
        <w:t>Longer-term economic, social and environmental impacts</w:t>
      </w:r>
    </w:p>
    <w:p w14:paraId="201871FB" w14:textId="13943B7D" w:rsidR="001A64B5" w:rsidRPr="001A64B5" w:rsidRDefault="001A64B5" w:rsidP="001A64B5">
      <w:pPr>
        <w:pStyle w:val="EMRPbodytext"/>
      </w:pPr>
      <w:r w:rsidRPr="001A64B5">
        <w:t xml:space="preserve">The European photonics industry is rapidly expanding, projected to grow from €124.6 billion in 2022 to €175 billion by 2027, with strong global market shares in Industry 4.0, instrumentation, healthcare, and </w:t>
      </w:r>
      <w:r w:rsidR="001A1A5A" w:rsidRPr="001A64B5">
        <w:t>defence</w:t>
      </w:r>
      <w:r w:rsidRPr="001A64B5">
        <w:t>. This project aligns with Photonics21’s strategic roadmap and addresses critical needs for miniaturized, self-calibrating sensors and integrated metrology solutions. By enabling simplified traceability and robust calibration within photonic integrated circuits (PICs), the project will accelerate innovation in sectors such as healthcare, quantum technologies and industrial manufacturing.</w:t>
      </w:r>
    </w:p>
    <w:p w14:paraId="64D97F60" w14:textId="1D5AF4D6" w:rsidR="001A64B5" w:rsidRPr="001A64B5" w:rsidRDefault="001A64B5" w:rsidP="001A64B5">
      <w:pPr>
        <w:pStyle w:val="EMRPbodytext"/>
      </w:pPr>
      <w:r w:rsidRPr="001A64B5">
        <w:t xml:space="preserve">The integration of Predictable Quantum Efficient Detectors (PQEDs) into PICs as embedded standards represents a breakthrough for optical power traceability, supporting </w:t>
      </w:r>
      <w:proofErr w:type="gramStart"/>
      <w:r w:rsidRPr="001A64B5">
        <w:t>next-generation</w:t>
      </w:r>
      <w:proofErr w:type="gramEnd"/>
      <w:r w:rsidRPr="001A64B5">
        <w:t xml:space="preserve"> sensing systems and programmable photonics. These advancements will improve measurement accuracy across applications, from Fourier Transform spectrometers to quantum devices and strengthen Europe’s leadership in metrology and photonics.</w:t>
      </w:r>
    </w:p>
    <w:p w14:paraId="06F873E0" w14:textId="77777777" w:rsidR="001A64B5" w:rsidRPr="001A64B5" w:rsidRDefault="001A64B5" w:rsidP="001A64B5">
      <w:pPr>
        <w:pStyle w:val="EMRPbodytext"/>
      </w:pPr>
      <w:r w:rsidRPr="001A64B5">
        <w:t>Environmental and societal impacts are significant: autonomous, self-calibrating instruments will enhance Earth observation and climate monitoring, while miniaturized optical systems will improve medical diagnostics by ensuring traceable measurements. The technology’s compact design and room-temperature operation make it ideal for space missions and small satellites. Overall, the project will deliver a quantum leap in metrology, enabling traceability in ways previously unattainable and reinforcing Europe’s competitive edge in a multi-billion-euro industry.</w:t>
      </w:r>
    </w:p>
    <w:p w14:paraId="2E525C30" w14:textId="77777777" w:rsidR="00C959D4" w:rsidRDefault="00C959D4" w:rsidP="001A695E">
      <w:pPr>
        <w:pStyle w:val="EMRPbodytext"/>
      </w:pPr>
    </w:p>
    <w:p w14:paraId="229A840A" w14:textId="77777777" w:rsidR="00F6532F" w:rsidRPr="00AD6A48" w:rsidRDefault="00F6532F" w:rsidP="001A695E">
      <w:pPr>
        <w:pStyle w:val="EMRPbodytext"/>
      </w:pPr>
    </w:p>
    <w:p w14:paraId="09673CCC" w14:textId="77777777" w:rsidR="001848A8" w:rsidRPr="00574B24" w:rsidRDefault="001848A8" w:rsidP="001848A8">
      <w:pPr>
        <w:pStyle w:val="Brdtekst2"/>
        <w:rPr>
          <w:b/>
          <w:sz w:val="20"/>
        </w:rPr>
      </w:pPr>
      <w:r w:rsidRPr="00574B24">
        <w:rPr>
          <w:b/>
          <w:sz w:val="20"/>
        </w:rPr>
        <w:t>List of publications</w:t>
      </w:r>
    </w:p>
    <w:p w14:paraId="35735712" w14:textId="2AE9B35A" w:rsidR="00495110" w:rsidRPr="00574B24" w:rsidRDefault="00495110" w:rsidP="001A695E">
      <w:pPr>
        <w:pStyle w:val="EMRPbodytext"/>
        <w:rPr>
          <w:iCs/>
        </w:rPr>
      </w:pPr>
      <w:bookmarkStart w:id="2" w:name="_Hlk43814775"/>
      <w:r w:rsidRPr="00574B24">
        <w:rPr>
          <w:iCs/>
        </w:rPr>
        <w:t xml:space="preserve">This list is also available here: </w:t>
      </w:r>
      <w:hyperlink r:id="rId11" w:history="1">
        <w:r w:rsidRPr="00574B24">
          <w:rPr>
            <w:rStyle w:val="Hyperkobling"/>
            <w:iCs/>
          </w:rPr>
          <w:t>https://www.euramet.org/repository/research-publications-repository-link/</w:t>
        </w:r>
      </w:hyperlink>
      <w:r w:rsidRPr="00574B24">
        <w:rPr>
          <w:iCs/>
        </w:rPr>
        <w:t xml:space="preserve"> </w:t>
      </w:r>
      <w:r w:rsidRPr="00574B24">
        <w:rPr>
          <w:iCs/>
        </w:rPr>
        <w:cr/>
      </w:r>
    </w:p>
    <w:bookmarkEnd w:id="2"/>
    <w:p w14:paraId="1A00EB29" w14:textId="3DA16179" w:rsidR="00607EFF" w:rsidRPr="00AD6A48" w:rsidRDefault="00607EFF" w:rsidP="00607EFF">
      <w:pPr>
        <w:pStyle w:val="Brdtekst2"/>
        <w:rPr>
          <w:rFonts w:eastAsia="Times New Roman" w:cs="Times New Roman"/>
          <w:iCs/>
          <w:sz w:val="20"/>
          <w:u w:val="single"/>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1"/>
        <w:gridCol w:w="1512"/>
        <w:gridCol w:w="1512"/>
        <w:gridCol w:w="3194"/>
      </w:tblGrid>
      <w:tr w:rsidR="00607EFF" w:rsidRPr="00574B24" w14:paraId="7A400C4D" w14:textId="77777777" w:rsidTr="00AE7A01">
        <w:tc>
          <w:tcPr>
            <w:tcW w:w="4933" w:type="dxa"/>
            <w:gridSpan w:val="2"/>
          </w:tcPr>
          <w:p w14:paraId="304A4CBA" w14:textId="77777777" w:rsidR="00607EFF" w:rsidRPr="00574B24" w:rsidRDefault="00607EFF" w:rsidP="008D1485">
            <w:pPr>
              <w:spacing w:before="60" w:after="60"/>
              <w:rPr>
                <w:rFonts w:ascii="Arial" w:hAnsi="Arial" w:cs="Arial"/>
                <w:sz w:val="18"/>
              </w:rPr>
            </w:pPr>
            <w:r w:rsidRPr="00574B24">
              <w:rPr>
                <w:rFonts w:ascii="Arial" w:hAnsi="Arial" w:cs="Arial"/>
                <w:sz w:val="18"/>
              </w:rPr>
              <w:t>Project start date and duration:</w:t>
            </w:r>
          </w:p>
        </w:tc>
        <w:tc>
          <w:tcPr>
            <w:tcW w:w="4706" w:type="dxa"/>
            <w:gridSpan w:val="2"/>
          </w:tcPr>
          <w:p w14:paraId="2D6E4454" w14:textId="5B7C0232" w:rsidR="00607EFF" w:rsidRPr="00574B24" w:rsidRDefault="00AD4D85" w:rsidP="008D1485">
            <w:pPr>
              <w:spacing w:before="60" w:after="60"/>
              <w:rPr>
                <w:rFonts w:ascii="Arial" w:hAnsi="Arial" w:cs="Arial"/>
                <w:sz w:val="18"/>
              </w:rPr>
            </w:pPr>
            <w:r>
              <w:rPr>
                <w:rFonts w:ascii="Arial" w:hAnsi="Arial" w:cs="Arial"/>
                <w:sz w:val="18"/>
              </w:rPr>
              <w:t>01 June 2026, 36 Months</w:t>
            </w:r>
          </w:p>
        </w:tc>
      </w:tr>
      <w:tr w:rsidR="00607EFF" w:rsidRPr="00574B24" w14:paraId="6E285828" w14:textId="77777777" w:rsidTr="00AE7A01">
        <w:trPr>
          <w:cantSplit/>
        </w:trPr>
        <w:tc>
          <w:tcPr>
            <w:tcW w:w="9639" w:type="dxa"/>
            <w:gridSpan w:val="4"/>
          </w:tcPr>
          <w:p w14:paraId="0624D23F" w14:textId="6A67681E" w:rsidR="00607EFF" w:rsidRPr="00574B24" w:rsidRDefault="00607EFF" w:rsidP="008D1485">
            <w:pPr>
              <w:spacing w:before="60" w:after="60"/>
              <w:rPr>
                <w:rFonts w:ascii="Arial" w:hAnsi="Arial" w:cs="Arial"/>
                <w:sz w:val="18"/>
              </w:rPr>
            </w:pPr>
            <w:r w:rsidRPr="00574B24">
              <w:rPr>
                <w:rFonts w:ascii="Arial" w:hAnsi="Arial" w:cs="Arial"/>
                <w:sz w:val="18"/>
              </w:rPr>
              <w:lastRenderedPageBreak/>
              <w:t xml:space="preserve">Coordinator: </w:t>
            </w:r>
            <w:r w:rsidR="00AD4D85">
              <w:rPr>
                <w:rFonts w:ascii="Arial" w:hAnsi="Arial" w:cs="Arial"/>
                <w:iCs/>
                <w:sz w:val="18"/>
              </w:rPr>
              <w:t>Jarle Gran</w:t>
            </w:r>
            <w:r w:rsidRPr="00574B24">
              <w:rPr>
                <w:rFonts w:ascii="Arial" w:hAnsi="Arial" w:cs="Arial"/>
                <w:iCs/>
                <w:sz w:val="18"/>
              </w:rPr>
              <w:t xml:space="preserve">, </w:t>
            </w:r>
            <w:r w:rsidR="00AD4D85">
              <w:rPr>
                <w:rFonts w:ascii="Arial" w:hAnsi="Arial" w:cs="Arial"/>
                <w:iCs/>
                <w:sz w:val="18"/>
              </w:rPr>
              <w:t>Justervesenet</w:t>
            </w:r>
            <w:r w:rsidRPr="00574B24">
              <w:rPr>
                <w:rFonts w:ascii="Arial" w:hAnsi="Arial" w:cs="Arial"/>
                <w:sz w:val="18"/>
              </w:rPr>
              <w:t xml:space="preserve">         E-mail:</w:t>
            </w:r>
            <w:r w:rsidR="00AD4D85">
              <w:rPr>
                <w:rFonts w:ascii="Arial" w:hAnsi="Arial" w:cs="Arial"/>
                <w:sz w:val="18"/>
              </w:rPr>
              <w:t xml:space="preserve"> </w:t>
            </w:r>
            <w:r w:rsidR="00CE1059">
              <w:rPr>
                <w:rFonts w:ascii="Arial" w:hAnsi="Arial" w:cs="Arial"/>
                <w:sz w:val="18"/>
              </w:rPr>
              <w:t>jag@justervesenet.no</w:t>
            </w:r>
          </w:p>
          <w:p w14:paraId="4DA2807F" w14:textId="392198E8" w:rsidR="00607EFF" w:rsidRPr="00574B24" w:rsidRDefault="00607EFF" w:rsidP="008D1485">
            <w:pPr>
              <w:spacing w:before="60" w:after="60"/>
              <w:rPr>
                <w:rFonts w:ascii="Arial" w:hAnsi="Arial" w:cs="Arial"/>
                <w:sz w:val="18"/>
              </w:rPr>
            </w:pPr>
            <w:r w:rsidRPr="00574B24">
              <w:rPr>
                <w:rFonts w:ascii="Arial" w:hAnsi="Arial" w:cs="Arial"/>
                <w:sz w:val="18"/>
              </w:rPr>
              <w:t xml:space="preserve">Project website address: </w:t>
            </w:r>
          </w:p>
        </w:tc>
      </w:tr>
      <w:tr w:rsidR="002D08B2" w:rsidRPr="00574B24" w14:paraId="61E2BF0F" w14:textId="77777777" w:rsidTr="00AE7A01">
        <w:tc>
          <w:tcPr>
            <w:tcW w:w="3421" w:type="dxa"/>
          </w:tcPr>
          <w:p w14:paraId="44AB8E72" w14:textId="4FA3CCA7" w:rsidR="002D08B2" w:rsidRPr="00574B24" w:rsidRDefault="002D08B2" w:rsidP="008D1485">
            <w:pPr>
              <w:spacing w:before="60" w:after="60"/>
              <w:rPr>
                <w:rFonts w:ascii="Arial" w:hAnsi="Arial" w:cs="Arial"/>
                <w:sz w:val="18"/>
              </w:rPr>
            </w:pPr>
            <w:r w:rsidRPr="00574B24">
              <w:rPr>
                <w:rFonts w:ascii="Arial" w:hAnsi="Arial" w:cs="Arial"/>
                <w:sz w:val="18"/>
              </w:rPr>
              <w:t xml:space="preserve">Internal </w:t>
            </w:r>
            <w:r w:rsidR="0081536F" w:rsidRPr="00574B24">
              <w:rPr>
                <w:rFonts w:ascii="Arial" w:hAnsi="Arial" w:cs="Arial"/>
                <w:sz w:val="18"/>
              </w:rPr>
              <w:t>Beneficiar</w:t>
            </w:r>
            <w:r w:rsidR="00F7142A" w:rsidRPr="00574B24">
              <w:rPr>
                <w:rFonts w:ascii="Arial" w:hAnsi="Arial" w:cs="Arial"/>
                <w:sz w:val="18"/>
              </w:rPr>
              <w:t>ies</w:t>
            </w:r>
            <w:r w:rsidRPr="00574B24">
              <w:rPr>
                <w:rFonts w:ascii="Arial" w:hAnsi="Arial" w:cs="Arial"/>
                <w:sz w:val="18"/>
              </w:rPr>
              <w:t>:</w:t>
            </w:r>
          </w:p>
          <w:p w14:paraId="048472F9" w14:textId="60EF017E" w:rsidR="002D08B2" w:rsidRPr="00574B24"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JV</w:t>
            </w:r>
            <w:r w:rsidR="002D08B2" w:rsidRPr="00574B24">
              <w:rPr>
                <w:rFonts w:ascii="Arial" w:hAnsi="Arial" w:cs="Arial"/>
                <w:sz w:val="18"/>
              </w:rPr>
              <w:t xml:space="preserve">, </w:t>
            </w:r>
            <w:r>
              <w:rPr>
                <w:rFonts w:ascii="Arial" w:hAnsi="Arial" w:cs="Arial"/>
                <w:sz w:val="18"/>
              </w:rPr>
              <w:t>Norway</w:t>
            </w:r>
          </w:p>
          <w:p w14:paraId="683B7FD7" w14:textId="0F8882FD" w:rsidR="002D08B2" w:rsidRPr="00574B24"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Aalto</w:t>
            </w:r>
            <w:r w:rsidR="002D08B2" w:rsidRPr="00574B24">
              <w:rPr>
                <w:rFonts w:ascii="Arial" w:hAnsi="Arial" w:cs="Arial"/>
                <w:sz w:val="18"/>
              </w:rPr>
              <w:t xml:space="preserve">, </w:t>
            </w:r>
            <w:r>
              <w:rPr>
                <w:rFonts w:ascii="Arial" w:hAnsi="Arial" w:cs="Arial"/>
                <w:sz w:val="18"/>
              </w:rPr>
              <w:t>Finland</w:t>
            </w:r>
          </w:p>
          <w:p w14:paraId="7C7B520E" w14:textId="602139D6" w:rsidR="002D08B2"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CMI</w:t>
            </w:r>
            <w:r w:rsidR="002D08B2" w:rsidRPr="00574B24">
              <w:rPr>
                <w:rFonts w:ascii="Arial" w:hAnsi="Arial" w:cs="Arial"/>
                <w:sz w:val="18"/>
              </w:rPr>
              <w:t xml:space="preserve">, </w:t>
            </w:r>
            <w:r>
              <w:rPr>
                <w:rFonts w:ascii="Arial" w:hAnsi="Arial" w:cs="Arial"/>
                <w:sz w:val="18"/>
              </w:rPr>
              <w:t>Czechia</w:t>
            </w:r>
          </w:p>
          <w:p w14:paraId="54DC6ACC" w14:textId="35918674" w:rsidR="00CE1059"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DFM, Denmark</w:t>
            </w:r>
          </w:p>
          <w:p w14:paraId="698D6F98" w14:textId="6C73FD01" w:rsidR="00CE1059" w:rsidRDefault="00CE1059" w:rsidP="008D1485">
            <w:pPr>
              <w:pStyle w:val="Listeavsnitt"/>
              <w:numPr>
                <w:ilvl w:val="0"/>
                <w:numId w:val="9"/>
              </w:numPr>
              <w:spacing w:before="60" w:after="60"/>
              <w:ind w:left="204" w:hanging="204"/>
              <w:rPr>
                <w:rFonts w:ascii="Arial" w:hAnsi="Arial" w:cs="Arial"/>
                <w:sz w:val="18"/>
              </w:rPr>
            </w:pPr>
            <w:proofErr w:type="spellStart"/>
            <w:r>
              <w:rPr>
                <w:rFonts w:ascii="Arial" w:hAnsi="Arial" w:cs="Arial"/>
                <w:sz w:val="18"/>
              </w:rPr>
              <w:t>INRiM</w:t>
            </w:r>
            <w:proofErr w:type="spellEnd"/>
            <w:r>
              <w:rPr>
                <w:rFonts w:ascii="Arial" w:hAnsi="Arial" w:cs="Arial"/>
                <w:sz w:val="18"/>
              </w:rPr>
              <w:t>, Italy</w:t>
            </w:r>
          </w:p>
          <w:p w14:paraId="4DABCE78" w14:textId="544EE7D7" w:rsidR="00CE1059" w:rsidRDefault="00CE1059" w:rsidP="008D1485">
            <w:pPr>
              <w:pStyle w:val="Listeavsnitt"/>
              <w:numPr>
                <w:ilvl w:val="0"/>
                <w:numId w:val="9"/>
              </w:numPr>
              <w:spacing w:before="60" w:after="60"/>
              <w:ind w:left="204" w:hanging="204"/>
              <w:rPr>
                <w:rFonts w:ascii="Arial" w:hAnsi="Arial" w:cs="Arial"/>
                <w:sz w:val="18"/>
              </w:rPr>
            </w:pPr>
            <w:proofErr w:type="spellStart"/>
            <w:r>
              <w:rPr>
                <w:rFonts w:ascii="Arial" w:hAnsi="Arial" w:cs="Arial"/>
                <w:sz w:val="18"/>
              </w:rPr>
              <w:t>Metrosert</w:t>
            </w:r>
            <w:proofErr w:type="spellEnd"/>
            <w:r>
              <w:rPr>
                <w:rFonts w:ascii="Arial" w:hAnsi="Arial" w:cs="Arial"/>
                <w:sz w:val="18"/>
              </w:rPr>
              <w:t>, Estonia</w:t>
            </w:r>
          </w:p>
          <w:p w14:paraId="77F816F2" w14:textId="5D3323C3" w:rsidR="00CE1059"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NPL, United Kingdom</w:t>
            </w:r>
          </w:p>
          <w:p w14:paraId="0B628A80" w14:textId="251A4DA8" w:rsidR="00CE1059"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PTB, Germany</w:t>
            </w:r>
          </w:p>
          <w:p w14:paraId="23CFCAE2" w14:textId="42163C91" w:rsidR="00CE1059" w:rsidRDefault="00CE1059" w:rsidP="008D1485">
            <w:pPr>
              <w:pStyle w:val="Listeavsnitt"/>
              <w:numPr>
                <w:ilvl w:val="0"/>
                <w:numId w:val="9"/>
              </w:numPr>
              <w:spacing w:before="60" w:after="60"/>
              <w:ind w:left="204" w:hanging="204"/>
              <w:rPr>
                <w:rFonts w:ascii="Arial" w:hAnsi="Arial" w:cs="Arial"/>
                <w:sz w:val="18"/>
              </w:rPr>
            </w:pPr>
            <w:r>
              <w:rPr>
                <w:rFonts w:ascii="Arial" w:hAnsi="Arial" w:cs="Arial"/>
                <w:sz w:val="18"/>
              </w:rPr>
              <w:t>RISE, Sweden</w:t>
            </w:r>
          </w:p>
          <w:p w14:paraId="5B0135F3" w14:textId="59D46DB5" w:rsidR="002E2677" w:rsidRPr="00574B24" w:rsidRDefault="00534776" w:rsidP="002E2677">
            <w:pPr>
              <w:pStyle w:val="Listeavsnitt"/>
              <w:numPr>
                <w:ilvl w:val="0"/>
                <w:numId w:val="9"/>
              </w:numPr>
              <w:spacing w:before="60" w:after="60"/>
              <w:ind w:left="301" w:hanging="301"/>
              <w:rPr>
                <w:rFonts w:ascii="Arial" w:hAnsi="Arial" w:cs="Arial"/>
                <w:sz w:val="18"/>
              </w:rPr>
            </w:pPr>
            <w:r>
              <w:rPr>
                <w:rFonts w:ascii="Arial" w:hAnsi="Arial" w:cs="Arial"/>
                <w:sz w:val="18"/>
              </w:rPr>
              <w:t>SFI Davos, Switzerland</w:t>
            </w:r>
          </w:p>
          <w:p w14:paraId="188B0FC1" w14:textId="1F563150" w:rsidR="00534776" w:rsidRPr="00574B24" w:rsidRDefault="00665AC4" w:rsidP="00534776">
            <w:pPr>
              <w:pStyle w:val="Listeavsnitt"/>
              <w:numPr>
                <w:ilvl w:val="0"/>
                <w:numId w:val="9"/>
              </w:numPr>
              <w:spacing w:before="60" w:after="60"/>
              <w:ind w:left="301" w:hanging="301"/>
              <w:rPr>
                <w:rFonts w:ascii="Arial" w:hAnsi="Arial" w:cs="Arial"/>
                <w:sz w:val="18"/>
              </w:rPr>
            </w:pPr>
            <w:r>
              <w:rPr>
                <w:rFonts w:ascii="Arial" w:hAnsi="Arial" w:cs="Arial"/>
                <w:sz w:val="18"/>
              </w:rPr>
              <w:t>TUBITAK</w:t>
            </w:r>
            <w:r w:rsidR="00534776" w:rsidRPr="00574B24">
              <w:rPr>
                <w:rFonts w:ascii="Arial" w:hAnsi="Arial" w:cs="Arial"/>
                <w:sz w:val="18"/>
              </w:rPr>
              <w:t xml:space="preserve">, </w:t>
            </w:r>
            <w:r w:rsidRPr="00EF0C10">
              <w:rPr>
                <w:sz w:val="18"/>
                <w:szCs w:val="18"/>
              </w:rPr>
              <w:t>Türkiye</w:t>
            </w:r>
          </w:p>
          <w:p w14:paraId="67443CCB" w14:textId="0DD2E660" w:rsidR="00CE1059" w:rsidRPr="00BE75A6" w:rsidRDefault="00665AC4" w:rsidP="00BE75A6">
            <w:pPr>
              <w:pStyle w:val="Listeavsnitt"/>
              <w:numPr>
                <w:ilvl w:val="0"/>
                <w:numId w:val="9"/>
              </w:numPr>
              <w:spacing w:before="60" w:after="60"/>
              <w:ind w:left="301" w:hanging="301"/>
              <w:rPr>
                <w:rFonts w:ascii="Arial" w:hAnsi="Arial" w:cs="Arial"/>
                <w:sz w:val="18"/>
              </w:rPr>
            </w:pPr>
            <w:r>
              <w:rPr>
                <w:rFonts w:ascii="Arial" w:hAnsi="Arial" w:cs="Arial"/>
                <w:sz w:val="18"/>
              </w:rPr>
              <w:t>VSL</w:t>
            </w:r>
            <w:r w:rsidR="00534776" w:rsidRPr="00574B24">
              <w:rPr>
                <w:rFonts w:ascii="Arial" w:hAnsi="Arial" w:cs="Arial"/>
                <w:sz w:val="18"/>
              </w:rPr>
              <w:t xml:space="preserve">, </w:t>
            </w:r>
            <w:r>
              <w:rPr>
                <w:rFonts w:ascii="Arial" w:hAnsi="Arial" w:cs="Arial"/>
                <w:sz w:val="18"/>
              </w:rPr>
              <w:t>Netherlands</w:t>
            </w:r>
          </w:p>
        </w:tc>
        <w:tc>
          <w:tcPr>
            <w:tcW w:w="3024" w:type="dxa"/>
            <w:gridSpan w:val="2"/>
          </w:tcPr>
          <w:p w14:paraId="3174F9BB" w14:textId="29CB9C30" w:rsidR="002D08B2" w:rsidRPr="00574B24" w:rsidRDefault="002D08B2" w:rsidP="008D1485">
            <w:pPr>
              <w:spacing w:before="60" w:after="60"/>
              <w:rPr>
                <w:sz w:val="18"/>
              </w:rPr>
            </w:pPr>
            <w:r w:rsidRPr="00574B24">
              <w:rPr>
                <w:rFonts w:ascii="Arial" w:hAnsi="Arial" w:cs="Arial"/>
                <w:sz w:val="18"/>
              </w:rPr>
              <w:t xml:space="preserve">External </w:t>
            </w:r>
            <w:r w:rsidR="0081536F" w:rsidRPr="00574B24">
              <w:rPr>
                <w:rFonts w:ascii="Arial" w:hAnsi="Arial" w:cs="Arial"/>
                <w:sz w:val="18"/>
              </w:rPr>
              <w:t>Bene</w:t>
            </w:r>
            <w:r w:rsidR="00AE3E39" w:rsidRPr="00574B24">
              <w:rPr>
                <w:rFonts w:ascii="Arial" w:hAnsi="Arial" w:cs="Arial"/>
                <w:sz w:val="18"/>
              </w:rPr>
              <w:t>ficiar</w:t>
            </w:r>
            <w:r w:rsidR="00F7142A" w:rsidRPr="00574B24">
              <w:rPr>
                <w:rFonts w:ascii="Arial" w:hAnsi="Arial" w:cs="Arial"/>
                <w:sz w:val="18"/>
              </w:rPr>
              <w:t>ies</w:t>
            </w:r>
            <w:r w:rsidRPr="00574B24">
              <w:rPr>
                <w:rFonts w:ascii="Arial" w:hAnsi="Arial" w:cs="Arial"/>
                <w:sz w:val="18"/>
              </w:rPr>
              <w:t>:</w:t>
            </w:r>
          </w:p>
          <w:p w14:paraId="6F9D4902" w14:textId="43A4A1BF" w:rsidR="002D08B2" w:rsidRPr="00574B24" w:rsidRDefault="000330AE" w:rsidP="000330AE">
            <w:pPr>
              <w:pStyle w:val="Listeavsnitt"/>
              <w:numPr>
                <w:ilvl w:val="0"/>
                <w:numId w:val="9"/>
              </w:numPr>
              <w:spacing w:before="60" w:after="60"/>
              <w:ind w:left="301" w:hanging="301"/>
              <w:rPr>
                <w:rFonts w:ascii="Arial" w:hAnsi="Arial" w:cs="Arial"/>
                <w:sz w:val="18"/>
              </w:rPr>
            </w:pPr>
            <w:proofErr w:type="spellStart"/>
            <w:r>
              <w:rPr>
                <w:rFonts w:ascii="Arial" w:hAnsi="Arial" w:cs="Arial"/>
                <w:sz w:val="18"/>
              </w:rPr>
              <w:t>ElFys</w:t>
            </w:r>
            <w:proofErr w:type="spellEnd"/>
            <w:r w:rsidR="002D08B2" w:rsidRPr="00574B24">
              <w:rPr>
                <w:rFonts w:ascii="Arial" w:hAnsi="Arial" w:cs="Arial"/>
                <w:sz w:val="18"/>
              </w:rPr>
              <w:t xml:space="preserve">, </w:t>
            </w:r>
            <w:r>
              <w:rPr>
                <w:rFonts w:ascii="Arial" w:hAnsi="Arial" w:cs="Arial"/>
                <w:sz w:val="18"/>
              </w:rPr>
              <w:t>Finland</w:t>
            </w:r>
          </w:p>
          <w:p w14:paraId="0006B5E9" w14:textId="09CE374B" w:rsidR="002D08B2" w:rsidRPr="00574B24" w:rsidRDefault="000330AE" w:rsidP="008D1485">
            <w:pPr>
              <w:pStyle w:val="Listeavsnitt"/>
              <w:numPr>
                <w:ilvl w:val="0"/>
                <w:numId w:val="9"/>
              </w:numPr>
              <w:spacing w:before="60" w:after="60"/>
              <w:ind w:left="299" w:hanging="299"/>
              <w:rPr>
                <w:rFonts w:ascii="Arial" w:hAnsi="Arial" w:cs="Arial"/>
                <w:sz w:val="18"/>
              </w:rPr>
            </w:pPr>
            <w:r>
              <w:rPr>
                <w:rFonts w:ascii="Arial" w:hAnsi="Arial" w:cs="Arial"/>
                <w:sz w:val="18"/>
              </w:rPr>
              <w:t>IFE</w:t>
            </w:r>
            <w:r w:rsidR="002D08B2" w:rsidRPr="00574B24">
              <w:rPr>
                <w:rFonts w:ascii="Arial" w:hAnsi="Arial" w:cs="Arial"/>
                <w:sz w:val="18"/>
              </w:rPr>
              <w:t xml:space="preserve">, </w:t>
            </w:r>
            <w:r>
              <w:rPr>
                <w:rFonts w:ascii="Arial" w:hAnsi="Arial" w:cs="Arial"/>
                <w:sz w:val="18"/>
              </w:rPr>
              <w:t>Norway</w:t>
            </w:r>
          </w:p>
          <w:p w14:paraId="337FF79C" w14:textId="37C2BC87" w:rsidR="002D08B2" w:rsidRDefault="000330AE" w:rsidP="008D1485">
            <w:pPr>
              <w:pStyle w:val="Listeavsnitt"/>
              <w:numPr>
                <w:ilvl w:val="0"/>
                <w:numId w:val="9"/>
              </w:numPr>
              <w:spacing w:before="60" w:after="60"/>
              <w:ind w:left="299" w:hanging="299"/>
              <w:rPr>
                <w:rFonts w:ascii="Arial" w:hAnsi="Arial" w:cs="Arial"/>
                <w:sz w:val="18"/>
              </w:rPr>
            </w:pPr>
            <w:r>
              <w:rPr>
                <w:rFonts w:ascii="Arial" w:hAnsi="Arial" w:cs="Arial"/>
                <w:sz w:val="18"/>
              </w:rPr>
              <w:t>SINTEF</w:t>
            </w:r>
            <w:r w:rsidR="002D08B2" w:rsidRPr="00574B24">
              <w:rPr>
                <w:rFonts w:ascii="Arial" w:hAnsi="Arial" w:cs="Arial"/>
                <w:sz w:val="18"/>
              </w:rPr>
              <w:t xml:space="preserve">, </w:t>
            </w:r>
            <w:r>
              <w:rPr>
                <w:rFonts w:ascii="Arial" w:hAnsi="Arial" w:cs="Arial"/>
                <w:sz w:val="18"/>
              </w:rPr>
              <w:t>Norway</w:t>
            </w:r>
          </w:p>
          <w:p w14:paraId="591CB35E" w14:textId="4E08C094" w:rsidR="00CE1059" w:rsidRDefault="000330AE" w:rsidP="008D1485">
            <w:pPr>
              <w:pStyle w:val="Listeavsnitt"/>
              <w:numPr>
                <w:ilvl w:val="0"/>
                <w:numId w:val="9"/>
              </w:numPr>
              <w:spacing w:before="60" w:after="60"/>
              <w:ind w:left="299" w:hanging="299"/>
              <w:rPr>
                <w:rFonts w:ascii="Arial" w:hAnsi="Arial" w:cs="Arial"/>
                <w:sz w:val="18"/>
              </w:rPr>
            </w:pPr>
            <w:proofErr w:type="spellStart"/>
            <w:r>
              <w:rPr>
                <w:rFonts w:ascii="Arial" w:hAnsi="Arial" w:cs="Arial"/>
                <w:sz w:val="18"/>
              </w:rPr>
              <w:t>UGent</w:t>
            </w:r>
            <w:proofErr w:type="spellEnd"/>
            <w:r>
              <w:rPr>
                <w:rFonts w:ascii="Arial" w:hAnsi="Arial" w:cs="Arial"/>
                <w:sz w:val="18"/>
              </w:rPr>
              <w:t>, Belgium</w:t>
            </w:r>
          </w:p>
          <w:p w14:paraId="4BBA225E" w14:textId="15C786C0" w:rsidR="00CE1059" w:rsidRPr="00574B24" w:rsidRDefault="000330AE" w:rsidP="008D1485">
            <w:pPr>
              <w:pStyle w:val="Listeavsnitt"/>
              <w:numPr>
                <w:ilvl w:val="0"/>
                <w:numId w:val="9"/>
              </w:numPr>
              <w:spacing w:before="60" w:after="60"/>
              <w:ind w:left="299" w:hanging="299"/>
              <w:rPr>
                <w:rFonts w:ascii="Arial" w:hAnsi="Arial" w:cs="Arial"/>
                <w:sz w:val="18"/>
              </w:rPr>
            </w:pPr>
            <w:r>
              <w:rPr>
                <w:rFonts w:ascii="Arial" w:hAnsi="Arial" w:cs="Arial"/>
                <w:sz w:val="18"/>
              </w:rPr>
              <w:t>USN, Norway</w:t>
            </w:r>
          </w:p>
        </w:tc>
        <w:tc>
          <w:tcPr>
            <w:tcW w:w="3194" w:type="dxa"/>
          </w:tcPr>
          <w:p w14:paraId="764490F0" w14:textId="25EA374E" w:rsidR="002D08B2" w:rsidRPr="00574B24" w:rsidRDefault="002D08B2" w:rsidP="008D1485">
            <w:pPr>
              <w:spacing w:before="60" w:after="60"/>
              <w:rPr>
                <w:sz w:val="18"/>
              </w:rPr>
            </w:pPr>
            <w:r w:rsidRPr="00574B24">
              <w:rPr>
                <w:rFonts w:ascii="Arial" w:hAnsi="Arial" w:cs="Arial"/>
                <w:sz w:val="18"/>
              </w:rPr>
              <w:t xml:space="preserve">Unfunded </w:t>
            </w:r>
            <w:r w:rsidR="00095C9F" w:rsidRPr="00574B24">
              <w:rPr>
                <w:rFonts w:ascii="Arial" w:hAnsi="Arial" w:cs="Arial"/>
                <w:sz w:val="18"/>
              </w:rPr>
              <w:t>Beneficiar</w:t>
            </w:r>
            <w:r w:rsidR="00F7142A" w:rsidRPr="00574B24">
              <w:rPr>
                <w:rFonts w:ascii="Arial" w:hAnsi="Arial" w:cs="Arial"/>
                <w:sz w:val="18"/>
              </w:rPr>
              <w:t>ies</w:t>
            </w:r>
            <w:r w:rsidRPr="00574B24">
              <w:rPr>
                <w:rFonts w:ascii="Arial" w:hAnsi="Arial" w:cs="Arial"/>
                <w:sz w:val="18"/>
              </w:rPr>
              <w:t>:</w:t>
            </w:r>
          </w:p>
          <w:p w14:paraId="5BA4F1F2" w14:textId="2289431A" w:rsidR="002D08B2" w:rsidRPr="00574B24" w:rsidRDefault="002D08B2" w:rsidP="000330AE">
            <w:pPr>
              <w:pStyle w:val="Listeavsnitt"/>
              <w:spacing w:before="60" w:after="60"/>
              <w:ind w:left="251"/>
              <w:rPr>
                <w:rFonts w:ascii="Arial" w:hAnsi="Arial" w:cs="Arial"/>
                <w:sz w:val="18"/>
              </w:rPr>
            </w:pPr>
          </w:p>
        </w:tc>
      </w:tr>
    </w:tbl>
    <w:p w14:paraId="419D2655" w14:textId="77777777" w:rsidR="0028207D" w:rsidRPr="003D4044" w:rsidRDefault="0028207D" w:rsidP="001848A8">
      <w:pPr>
        <w:rPr>
          <w:rFonts w:ascii="Arial" w:hAnsi="Arial" w:cs="Arial"/>
          <w:iCs/>
        </w:rPr>
      </w:pPr>
    </w:p>
    <w:sectPr w:rsidR="0028207D" w:rsidRPr="003D4044" w:rsidSect="002630E4">
      <w:headerReference w:type="default" r:id="rId12"/>
      <w:footerReference w:type="default" r:id="rId13"/>
      <w:headerReference w:type="first" r:id="rId14"/>
      <w:footerReference w:type="first" r:id="rId15"/>
      <w:pgSz w:w="11906" w:h="16838" w:code="9"/>
      <w:pgMar w:top="2149" w:right="1134" w:bottom="1134" w:left="1134" w:header="851" w:footer="4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C4FA" w14:textId="77777777" w:rsidR="008C0056" w:rsidRDefault="008C0056">
      <w:r>
        <w:separator/>
      </w:r>
    </w:p>
  </w:endnote>
  <w:endnote w:type="continuationSeparator" w:id="0">
    <w:p w14:paraId="00E4D395" w14:textId="77777777" w:rsidR="008C0056" w:rsidRDefault="008C0056">
      <w:r>
        <w:continuationSeparator/>
      </w:r>
    </w:p>
  </w:endnote>
  <w:endnote w:type="continuationNotice" w:id="1">
    <w:p w14:paraId="3A66A156" w14:textId="77777777" w:rsidR="008C0056" w:rsidRDefault="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 w:type="dxa"/>
      <w:tblCellMar>
        <w:left w:w="70" w:type="dxa"/>
        <w:right w:w="70" w:type="dxa"/>
      </w:tblCellMar>
      <w:tblLook w:val="0000" w:firstRow="0" w:lastRow="0" w:firstColumn="0" w:lastColumn="0" w:noHBand="0" w:noVBand="0"/>
    </w:tblPr>
    <w:tblGrid>
      <w:gridCol w:w="4156"/>
      <w:gridCol w:w="1549"/>
      <w:gridCol w:w="3939"/>
    </w:tblGrid>
    <w:tr w:rsidR="00C236DE" w14:paraId="09673D0D" w14:textId="77777777" w:rsidTr="007B1293">
      <w:trPr>
        <w:trHeight w:val="429"/>
      </w:trPr>
      <w:tc>
        <w:tcPr>
          <w:tcW w:w="4187" w:type="dxa"/>
        </w:tcPr>
        <w:p w14:paraId="09673D06" w14:textId="77777777" w:rsidR="00C236DE" w:rsidRDefault="00C236DE">
          <w:pPr>
            <w:pStyle w:val="Bunntekst"/>
            <w:rPr>
              <w:rFonts w:ascii="Arial" w:hAnsi="Arial" w:cs="Arial"/>
              <w:b/>
              <w:color w:val="000000"/>
              <w:sz w:val="14"/>
              <w:szCs w:val="14"/>
            </w:rPr>
          </w:pPr>
        </w:p>
        <w:p w14:paraId="09673D07" w14:textId="77777777" w:rsidR="00C236DE" w:rsidRDefault="00C236DE" w:rsidP="0016333A">
          <w:pPr>
            <w:pStyle w:val="Bunntekst"/>
            <w:rPr>
              <w:rFonts w:ascii="Arial" w:hAnsi="Arial" w:cs="Arial"/>
              <w:sz w:val="14"/>
              <w:szCs w:val="16"/>
            </w:rPr>
          </w:pPr>
        </w:p>
      </w:tc>
      <w:tc>
        <w:tcPr>
          <w:tcW w:w="1559" w:type="dxa"/>
        </w:tcPr>
        <w:p w14:paraId="09673D08" w14:textId="77777777" w:rsidR="00C236DE" w:rsidRDefault="00C236DE">
          <w:pPr>
            <w:rPr>
              <w:rFonts w:ascii="Arial" w:hAnsi="Arial" w:cs="Arial"/>
              <w:snapToGrid w:val="0"/>
              <w:sz w:val="14"/>
              <w:szCs w:val="10"/>
            </w:rPr>
          </w:pPr>
        </w:p>
        <w:p w14:paraId="09673D09" w14:textId="57D9E7B3" w:rsidR="00C236DE" w:rsidRDefault="00C236DE">
          <w:pPr>
            <w:jc w:val="center"/>
            <w:rPr>
              <w:rFonts w:ascii="Arial" w:hAnsi="Arial" w:cs="Arial"/>
              <w:b/>
              <w:sz w:val="14"/>
            </w:rPr>
          </w:pPr>
          <w:r w:rsidRPr="0043629D">
            <w:rPr>
              <w:rStyle w:val="Sidetall"/>
              <w:rFonts w:ascii="Arial" w:hAnsi="Arial" w:cs="Arial"/>
            </w:rPr>
            <w:fldChar w:fldCharType="begin"/>
          </w:r>
          <w:r w:rsidRPr="0043629D">
            <w:rPr>
              <w:rStyle w:val="Sidetall"/>
              <w:rFonts w:ascii="Arial" w:hAnsi="Arial" w:cs="Arial"/>
            </w:rPr>
            <w:instrText xml:space="preserve"> PAGE </w:instrText>
          </w:r>
          <w:r w:rsidRPr="0043629D">
            <w:rPr>
              <w:rStyle w:val="Sidetall"/>
              <w:rFonts w:ascii="Arial" w:hAnsi="Arial" w:cs="Arial"/>
            </w:rPr>
            <w:fldChar w:fldCharType="separate"/>
          </w:r>
          <w:r w:rsidR="00E65F06">
            <w:rPr>
              <w:rStyle w:val="Sidetall"/>
              <w:rFonts w:ascii="Arial" w:hAnsi="Arial" w:cs="Arial"/>
              <w:noProof/>
            </w:rPr>
            <w:t>3</w:t>
          </w:r>
          <w:r w:rsidRPr="0043629D">
            <w:rPr>
              <w:rStyle w:val="Sidetall"/>
              <w:rFonts w:ascii="Arial" w:hAnsi="Arial" w:cs="Arial"/>
            </w:rPr>
            <w:fldChar w:fldCharType="end"/>
          </w:r>
          <w:r w:rsidRPr="0043629D">
            <w:rPr>
              <w:rStyle w:val="Sidetall"/>
              <w:rFonts w:ascii="Arial" w:hAnsi="Arial" w:cs="Arial"/>
            </w:rPr>
            <w:t>/</w:t>
          </w:r>
          <w:r w:rsidRPr="0043629D">
            <w:rPr>
              <w:rStyle w:val="Sidetall"/>
              <w:rFonts w:ascii="Arial" w:hAnsi="Arial" w:cs="Arial"/>
            </w:rPr>
            <w:fldChar w:fldCharType="begin"/>
          </w:r>
          <w:r w:rsidRPr="0043629D">
            <w:rPr>
              <w:rStyle w:val="Sidetall"/>
              <w:rFonts w:ascii="Arial" w:hAnsi="Arial" w:cs="Arial"/>
            </w:rPr>
            <w:instrText xml:space="preserve"> NUMPAGES </w:instrText>
          </w:r>
          <w:r w:rsidRPr="0043629D">
            <w:rPr>
              <w:rStyle w:val="Sidetall"/>
              <w:rFonts w:ascii="Arial" w:hAnsi="Arial" w:cs="Arial"/>
            </w:rPr>
            <w:fldChar w:fldCharType="separate"/>
          </w:r>
          <w:r w:rsidR="00E65F06">
            <w:rPr>
              <w:rStyle w:val="Sidetall"/>
              <w:rFonts w:ascii="Arial" w:hAnsi="Arial" w:cs="Arial"/>
              <w:noProof/>
            </w:rPr>
            <w:t>3</w:t>
          </w:r>
          <w:r w:rsidRPr="0043629D">
            <w:rPr>
              <w:rStyle w:val="Sidetall"/>
              <w:rFonts w:ascii="Arial" w:hAnsi="Arial" w:cs="Arial"/>
            </w:rPr>
            <w:fldChar w:fldCharType="end"/>
          </w:r>
        </w:p>
      </w:tc>
      <w:tc>
        <w:tcPr>
          <w:tcW w:w="3969" w:type="dxa"/>
        </w:tcPr>
        <w:p w14:paraId="09673D0A" w14:textId="77777777" w:rsidR="00C236DE" w:rsidRDefault="00C236DE">
          <w:pPr>
            <w:pStyle w:val="Bunntekst"/>
            <w:jc w:val="right"/>
            <w:rPr>
              <w:rFonts w:ascii="Arial" w:hAnsi="Arial" w:cs="Arial"/>
              <w:sz w:val="14"/>
            </w:rPr>
          </w:pPr>
        </w:p>
        <w:p w14:paraId="09673D0B" w14:textId="77777777" w:rsidR="00C236DE" w:rsidRDefault="00C236DE">
          <w:pPr>
            <w:pStyle w:val="Bunntekst"/>
            <w:jc w:val="right"/>
            <w:rPr>
              <w:rFonts w:ascii="Arial" w:hAnsi="Arial" w:cs="Arial"/>
              <w:sz w:val="14"/>
            </w:rPr>
          </w:pPr>
        </w:p>
        <w:p w14:paraId="09673D0C" w14:textId="77777777" w:rsidR="00C236DE" w:rsidRDefault="00C236DE">
          <w:pPr>
            <w:rPr>
              <w:snapToGrid w:val="0"/>
            </w:rPr>
          </w:pPr>
        </w:p>
      </w:tc>
    </w:tr>
  </w:tbl>
  <w:p w14:paraId="09673D0E" w14:textId="77777777" w:rsidR="00C236DE" w:rsidRDefault="00C236D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63" w:type="dxa"/>
      <w:tblInd w:w="-1631" w:type="dxa"/>
      <w:tblCellMar>
        <w:left w:w="70" w:type="dxa"/>
        <w:right w:w="70" w:type="dxa"/>
      </w:tblCellMar>
      <w:tblLook w:val="0000" w:firstRow="0" w:lastRow="0" w:firstColumn="0" w:lastColumn="0" w:noHBand="0" w:noVBand="0"/>
    </w:tblPr>
    <w:tblGrid>
      <w:gridCol w:w="1333"/>
      <w:gridCol w:w="2142"/>
      <w:gridCol w:w="5078"/>
      <w:gridCol w:w="3710"/>
    </w:tblGrid>
    <w:tr w:rsidR="00C236DE" w14:paraId="09673D1F" w14:textId="77777777" w:rsidTr="002630E4">
      <w:trPr>
        <w:cantSplit/>
        <w:trHeight w:val="283"/>
      </w:trPr>
      <w:tc>
        <w:tcPr>
          <w:tcW w:w="12263" w:type="dxa"/>
          <w:gridSpan w:val="4"/>
        </w:tcPr>
        <w:p w14:paraId="09673D1D" w14:textId="77777777" w:rsidR="00C236DE" w:rsidRDefault="00C236DE" w:rsidP="000E545F">
          <w:pPr>
            <w:pStyle w:val="Bobletekst"/>
            <w:pBdr>
              <w:bottom w:val="single" w:sz="4" w:space="1" w:color="auto"/>
            </w:pBdr>
            <w:rPr>
              <w:rFonts w:ascii="Arial" w:hAnsi="Arial" w:cs="Times New Roman"/>
              <w:szCs w:val="20"/>
            </w:rPr>
          </w:pPr>
        </w:p>
        <w:p w14:paraId="09673D1E" w14:textId="23D394B2" w:rsidR="00C236DE" w:rsidRDefault="002630E4" w:rsidP="002630E4">
          <w:pPr>
            <w:tabs>
              <w:tab w:val="left" w:pos="3556"/>
            </w:tabs>
            <w:ind w:left="1631"/>
            <w:rPr>
              <w:rFonts w:cs="Arial"/>
              <w:color w:val="006662"/>
              <w:sz w:val="14"/>
              <w:szCs w:val="14"/>
            </w:rPr>
          </w:pPr>
          <w:r>
            <w:rPr>
              <w:rFonts w:cs="Arial"/>
              <w:color w:val="006662"/>
              <w:sz w:val="14"/>
              <w:szCs w:val="14"/>
            </w:rPr>
            <w:tab/>
          </w:r>
        </w:p>
      </w:tc>
    </w:tr>
    <w:tr w:rsidR="008A4933" w14:paraId="09673D2D" w14:textId="77777777" w:rsidTr="002630E4">
      <w:trPr>
        <w:cantSplit/>
        <w:trHeight w:val="860"/>
      </w:trPr>
      <w:tc>
        <w:tcPr>
          <w:tcW w:w="1543" w:type="dxa"/>
        </w:tcPr>
        <w:p w14:paraId="09673D20" w14:textId="77777777" w:rsidR="00C236DE" w:rsidRDefault="00C236DE" w:rsidP="000E545F">
          <w:pPr>
            <w:pStyle w:val="Bunntekst"/>
            <w:spacing w:before="80"/>
            <w:ind w:firstLine="74"/>
            <w:rPr>
              <w:rFonts w:cs="Arial"/>
              <w:b/>
              <w:color w:val="00285B"/>
              <w:sz w:val="14"/>
              <w:szCs w:val="14"/>
            </w:rPr>
          </w:pPr>
        </w:p>
      </w:tc>
      <w:tc>
        <w:tcPr>
          <w:tcW w:w="2356" w:type="dxa"/>
        </w:tcPr>
        <w:p w14:paraId="3D4DD7CB" w14:textId="6E5C5AE3" w:rsidR="00B16622" w:rsidRDefault="00C236DE" w:rsidP="000E545F">
          <w:pPr>
            <w:tabs>
              <w:tab w:val="left" w:pos="3899"/>
            </w:tabs>
            <w:rPr>
              <w:rFonts w:ascii="Arial" w:hAnsi="Arial"/>
              <w:b/>
              <w:bCs/>
            </w:rPr>
          </w:pPr>
          <w:r w:rsidRPr="00574B24">
            <w:rPr>
              <w:rFonts w:ascii="Arial" w:hAnsi="Arial"/>
              <w:b/>
              <w:bCs/>
            </w:rPr>
            <w:t>Report Status:</w:t>
          </w:r>
        </w:p>
        <w:p w14:paraId="09673D21" w14:textId="3B4ABD52" w:rsidR="00C236DE" w:rsidRPr="00574B24" w:rsidRDefault="00C236DE" w:rsidP="000E545F">
          <w:pPr>
            <w:tabs>
              <w:tab w:val="left" w:pos="3899"/>
            </w:tabs>
            <w:rPr>
              <w:rFonts w:ascii="Arial" w:hAnsi="Arial"/>
            </w:rPr>
          </w:pPr>
          <w:r w:rsidRPr="00574B24">
            <w:rPr>
              <w:rFonts w:ascii="Arial" w:hAnsi="Arial"/>
              <w:b/>
              <w:bCs/>
            </w:rPr>
            <w:t xml:space="preserve">PU </w:t>
          </w:r>
          <w:r w:rsidR="00350EF4" w:rsidRPr="00574B24">
            <w:rPr>
              <w:rFonts w:ascii="Arial" w:hAnsi="Arial"/>
              <w:b/>
              <w:bCs/>
            </w:rPr>
            <w:t xml:space="preserve">– </w:t>
          </w:r>
          <w:r w:rsidRPr="00574B24">
            <w:rPr>
              <w:rFonts w:ascii="Arial" w:hAnsi="Arial"/>
            </w:rPr>
            <w:t>Public</w:t>
          </w:r>
          <w:r w:rsidR="00350EF4" w:rsidRPr="00574B24">
            <w:rPr>
              <w:rFonts w:ascii="Arial" w:hAnsi="Arial"/>
            </w:rPr>
            <w:t>, fully open</w:t>
          </w:r>
        </w:p>
        <w:p w14:paraId="09673D23" w14:textId="266951E8" w:rsidR="00C236DE" w:rsidRDefault="00C236DE" w:rsidP="000E545F">
          <w:pPr>
            <w:pStyle w:val="Bunntekst"/>
            <w:rPr>
              <w:rFonts w:ascii="Arial" w:hAnsi="Arial" w:cs="Arial"/>
              <w:b/>
              <w:color w:val="000000"/>
              <w:sz w:val="14"/>
              <w:szCs w:val="14"/>
            </w:rPr>
          </w:pPr>
        </w:p>
        <w:p w14:paraId="3177EC7A" w14:textId="77777777" w:rsidR="00384484" w:rsidRDefault="00384484" w:rsidP="000E545F">
          <w:pPr>
            <w:pStyle w:val="Bunntekst"/>
            <w:rPr>
              <w:rFonts w:ascii="Arial" w:hAnsi="Arial" w:cs="Arial"/>
              <w:b/>
              <w:color w:val="000000"/>
              <w:sz w:val="14"/>
              <w:szCs w:val="14"/>
            </w:rPr>
          </w:pPr>
        </w:p>
        <w:p w14:paraId="09673D24" w14:textId="3F455619" w:rsidR="00C236DE" w:rsidRDefault="00C236DE" w:rsidP="000E545F">
          <w:pPr>
            <w:pStyle w:val="Bunntekst"/>
            <w:rPr>
              <w:rFonts w:ascii="Arial" w:hAnsi="Arial" w:cs="Arial"/>
              <w:b/>
              <w:color w:val="000000"/>
              <w:sz w:val="14"/>
              <w:szCs w:val="14"/>
            </w:rPr>
          </w:pPr>
          <w:r>
            <w:rPr>
              <w:rFonts w:ascii="Arial" w:hAnsi="Arial" w:cs="Arial"/>
              <w:b/>
              <w:color w:val="000000"/>
              <w:sz w:val="14"/>
              <w:szCs w:val="14"/>
            </w:rPr>
            <w:t xml:space="preserve">Publishable Summary </w:t>
          </w:r>
        </w:p>
        <w:p w14:paraId="09673D25" w14:textId="60B7CAD3" w:rsidR="00C236DE" w:rsidRDefault="00C236DE" w:rsidP="000E545F">
          <w:pPr>
            <w:pStyle w:val="Bunntekst"/>
            <w:rPr>
              <w:rFonts w:ascii="Arial" w:hAnsi="Arial" w:cs="Arial"/>
              <w:b/>
              <w:color w:val="000000"/>
              <w:sz w:val="14"/>
              <w:szCs w:val="14"/>
            </w:rPr>
          </w:pPr>
        </w:p>
        <w:p w14:paraId="05ECFDF0" w14:textId="77777777" w:rsidR="00384484" w:rsidRDefault="00384484" w:rsidP="000E545F">
          <w:pPr>
            <w:pStyle w:val="Bunntekst"/>
            <w:rPr>
              <w:rFonts w:ascii="Arial" w:hAnsi="Arial" w:cs="Arial"/>
              <w:b/>
              <w:color w:val="000000"/>
              <w:sz w:val="14"/>
              <w:szCs w:val="14"/>
            </w:rPr>
          </w:pPr>
        </w:p>
        <w:p w14:paraId="09673D26" w14:textId="55BA933E" w:rsidR="00C236DE" w:rsidRPr="00AC23AD" w:rsidRDefault="00C236DE" w:rsidP="000E545F">
          <w:pPr>
            <w:pStyle w:val="Bunntekst"/>
            <w:rPr>
              <w:rFonts w:ascii="Arial" w:hAnsi="Arial" w:cs="Arial"/>
              <w:sz w:val="14"/>
              <w:szCs w:val="16"/>
            </w:rPr>
          </w:pPr>
          <w:r>
            <w:rPr>
              <w:rFonts w:ascii="Arial" w:hAnsi="Arial" w:cs="Arial"/>
              <w:color w:val="000000"/>
              <w:sz w:val="14"/>
            </w:rPr>
            <w:t>Issued: Month Year</w:t>
          </w:r>
        </w:p>
      </w:tc>
      <w:tc>
        <w:tcPr>
          <w:tcW w:w="5812" w:type="dxa"/>
        </w:tcPr>
        <w:p w14:paraId="564354EE" w14:textId="50CBAE98" w:rsidR="00C236DE" w:rsidRPr="00AD6A48" w:rsidRDefault="00F02D0C" w:rsidP="000E545F">
          <w:pPr>
            <w:pStyle w:val="Bunntekst"/>
            <w:jc w:val="center"/>
            <w:rPr>
              <w:rFonts w:ascii="Arial" w:hAnsi="Arial" w:cs="Arial"/>
              <w:iCs/>
              <w:sz w:val="14"/>
              <w:szCs w:val="14"/>
            </w:rPr>
          </w:pPr>
          <w:r w:rsidRPr="00AD6A48">
            <w:rPr>
              <w:rFonts w:ascii="Arial" w:hAnsi="Arial" w:cs="Arial"/>
              <w:iCs/>
              <w:sz w:val="14"/>
              <w:szCs w:val="14"/>
            </w:rPr>
            <w:t>Funded by the European Union. Views and opinions expressed are however those of the author(s) only and do not necessarily reflect those of the European Union or EURAMET. Neither the European Union nor the granting authority can be held responsible for them.</w:t>
          </w:r>
        </w:p>
        <w:p w14:paraId="30F5D5EF" w14:textId="430E75C2" w:rsidR="002630E4" w:rsidRPr="00AD6A48" w:rsidRDefault="002630E4" w:rsidP="000E545F">
          <w:pPr>
            <w:pStyle w:val="Bunntekst"/>
            <w:jc w:val="center"/>
            <w:rPr>
              <w:rFonts w:ascii="Arial" w:hAnsi="Arial" w:cs="Arial"/>
              <w:iCs/>
              <w:sz w:val="14"/>
              <w:szCs w:val="14"/>
            </w:rPr>
          </w:pPr>
        </w:p>
        <w:p w14:paraId="1CC85AE3" w14:textId="77777777" w:rsidR="002630E4" w:rsidRPr="00AD6A48" w:rsidRDefault="002630E4" w:rsidP="000E545F">
          <w:pPr>
            <w:pStyle w:val="Bunntekst"/>
            <w:jc w:val="center"/>
            <w:rPr>
              <w:rFonts w:ascii="Arial" w:hAnsi="Arial" w:cs="Arial"/>
              <w:iCs/>
              <w:sz w:val="14"/>
              <w:szCs w:val="14"/>
            </w:rPr>
          </w:pPr>
        </w:p>
        <w:p w14:paraId="09673D27" w14:textId="72EEB142" w:rsidR="002630E4" w:rsidRPr="0043629D" w:rsidRDefault="002630E4" w:rsidP="002630E4">
          <w:pPr>
            <w:pStyle w:val="Bunntekst"/>
            <w:jc w:val="center"/>
            <w:rPr>
              <w:rFonts w:ascii="Arial" w:hAnsi="Arial" w:cs="Arial"/>
              <w:i/>
              <w:sz w:val="14"/>
              <w:szCs w:val="14"/>
            </w:rPr>
          </w:pPr>
          <w:r w:rsidRPr="00AD6A48">
            <w:rPr>
              <w:rFonts w:ascii="Arial" w:hAnsi="Arial" w:cs="Arial"/>
              <w:iCs/>
              <w:sz w:val="14"/>
              <w:szCs w:val="14"/>
            </w:rPr>
            <w:t>The project has received funding from the European Partnership on Metrology, co</w:t>
          </w:r>
          <w:r w:rsidR="00C91714" w:rsidRPr="00AD6A48">
            <w:rPr>
              <w:rFonts w:ascii="Arial" w:hAnsi="Arial" w:cs="Arial"/>
              <w:iCs/>
              <w:sz w:val="14"/>
              <w:szCs w:val="14"/>
            </w:rPr>
            <w:noBreakHyphen/>
          </w:r>
          <w:r w:rsidRPr="00AD6A48">
            <w:rPr>
              <w:rFonts w:ascii="Arial" w:hAnsi="Arial" w:cs="Arial"/>
              <w:iCs/>
              <w:sz w:val="14"/>
              <w:szCs w:val="14"/>
            </w:rPr>
            <w:t>financed from the European Union’s Horizon Europe Research and Innovation Programme and by the Participating States</w:t>
          </w:r>
          <w:r w:rsidR="00C91714" w:rsidRPr="00AD6A48">
            <w:rPr>
              <w:rFonts w:ascii="Arial" w:hAnsi="Arial" w:cs="Arial"/>
              <w:iCs/>
              <w:sz w:val="14"/>
              <w:szCs w:val="14"/>
            </w:rPr>
            <w:t>.</w:t>
          </w:r>
        </w:p>
      </w:tc>
      <w:tc>
        <w:tcPr>
          <w:tcW w:w="2552" w:type="dxa"/>
        </w:tcPr>
        <w:p w14:paraId="09673D2C" w14:textId="13043D61" w:rsidR="00C236DE" w:rsidRDefault="008A4933" w:rsidP="007573E1">
          <w:pPr>
            <w:pStyle w:val="Bunntekst"/>
            <w:rPr>
              <w:rFonts w:cs="Arial"/>
              <w:color w:val="006662"/>
              <w:sz w:val="14"/>
              <w:szCs w:val="14"/>
            </w:rPr>
          </w:pPr>
          <w:r>
            <w:rPr>
              <w:rFonts w:ascii="Arial" w:hAnsi="Arial" w:cs="Arial"/>
              <w:b/>
              <w:bCs/>
              <w:noProof/>
              <w:color w:val="004494"/>
              <w:sz w:val="18"/>
              <w:szCs w:val="18"/>
              <w:shd w:val="clear" w:color="auto" w:fill="FFFFFF"/>
            </w:rPr>
            <w:drawing>
              <wp:inline distT="0" distB="0" distL="0" distR="0" wp14:anchorId="2C2D4902" wp14:editId="6B45A1C3">
                <wp:extent cx="2267471" cy="10209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329615" cy="1048879"/>
                        </a:xfrm>
                        <a:prstGeom prst="rect">
                          <a:avLst/>
                        </a:prstGeom>
                      </pic:spPr>
                    </pic:pic>
                  </a:graphicData>
                </a:graphic>
              </wp:inline>
            </w:drawing>
          </w:r>
        </w:p>
      </w:tc>
    </w:tr>
  </w:tbl>
  <w:p w14:paraId="0F2FEF11" w14:textId="77777777" w:rsidR="00C236DE" w:rsidRPr="00CB2687" w:rsidRDefault="00C236DE">
    <w:pPr>
      <w:rPr>
        <w:sz w:val="2"/>
        <w:szCs w:val="2"/>
      </w:rPr>
    </w:pPr>
  </w:p>
  <w:tbl>
    <w:tblPr>
      <w:tblW w:w="12428" w:type="dxa"/>
      <w:tblInd w:w="-1631" w:type="dxa"/>
      <w:tblCellMar>
        <w:left w:w="70" w:type="dxa"/>
        <w:right w:w="70" w:type="dxa"/>
      </w:tblCellMar>
      <w:tblLook w:val="0000" w:firstRow="0" w:lastRow="0" w:firstColumn="0" w:lastColumn="0" w:noHBand="0" w:noVBand="0"/>
    </w:tblPr>
    <w:tblGrid>
      <w:gridCol w:w="1543"/>
      <w:gridCol w:w="2852"/>
      <w:gridCol w:w="4252"/>
      <w:gridCol w:w="3781"/>
    </w:tblGrid>
    <w:tr w:rsidR="00C236DE" w14:paraId="09673D32" w14:textId="77777777" w:rsidTr="00CB2687">
      <w:trPr>
        <w:cantSplit/>
        <w:trHeight w:val="325"/>
      </w:trPr>
      <w:tc>
        <w:tcPr>
          <w:tcW w:w="1543" w:type="dxa"/>
        </w:tcPr>
        <w:p w14:paraId="09673D2E" w14:textId="77777777" w:rsidR="00C236DE" w:rsidRDefault="00C236DE" w:rsidP="000E545F">
          <w:pPr>
            <w:pStyle w:val="Bunntekst"/>
            <w:spacing w:before="80"/>
            <w:ind w:firstLine="74"/>
            <w:rPr>
              <w:rFonts w:cs="Arial"/>
              <w:b/>
              <w:color w:val="00285B"/>
              <w:sz w:val="14"/>
              <w:szCs w:val="14"/>
            </w:rPr>
          </w:pPr>
        </w:p>
      </w:tc>
      <w:tc>
        <w:tcPr>
          <w:tcW w:w="2852" w:type="dxa"/>
        </w:tcPr>
        <w:p w14:paraId="09673D2F" w14:textId="77777777" w:rsidR="00C236DE" w:rsidRDefault="00C236DE" w:rsidP="000E545F">
          <w:pPr>
            <w:tabs>
              <w:tab w:val="left" w:pos="3899"/>
            </w:tabs>
            <w:rPr>
              <w:rFonts w:ascii="Arial" w:hAnsi="Arial"/>
              <w:b/>
              <w:bCs/>
              <w:sz w:val="22"/>
            </w:rPr>
          </w:pPr>
        </w:p>
      </w:tc>
      <w:tc>
        <w:tcPr>
          <w:tcW w:w="4252" w:type="dxa"/>
          <w:vAlign w:val="bottom"/>
        </w:tcPr>
        <w:p w14:paraId="09673D30" w14:textId="45591AFD" w:rsidR="00C236DE" w:rsidRPr="0043629D" w:rsidRDefault="00C236DE" w:rsidP="000E545F">
          <w:pPr>
            <w:pStyle w:val="Bunntekst"/>
            <w:jc w:val="center"/>
            <w:rPr>
              <w:rStyle w:val="Sidetall"/>
              <w:rFonts w:ascii="Arial" w:hAnsi="Arial" w:cs="Arial"/>
            </w:rPr>
          </w:pPr>
          <w:r w:rsidRPr="0043629D">
            <w:rPr>
              <w:rStyle w:val="Sidetall"/>
              <w:rFonts w:ascii="Arial" w:hAnsi="Arial" w:cs="Arial"/>
            </w:rPr>
            <w:fldChar w:fldCharType="begin"/>
          </w:r>
          <w:r w:rsidRPr="0043629D">
            <w:rPr>
              <w:rStyle w:val="Sidetall"/>
              <w:rFonts w:ascii="Arial" w:hAnsi="Arial" w:cs="Arial"/>
            </w:rPr>
            <w:instrText xml:space="preserve"> PAGE </w:instrText>
          </w:r>
          <w:r w:rsidRPr="0043629D">
            <w:rPr>
              <w:rStyle w:val="Sidetall"/>
              <w:rFonts w:ascii="Arial" w:hAnsi="Arial" w:cs="Arial"/>
            </w:rPr>
            <w:fldChar w:fldCharType="separate"/>
          </w:r>
          <w:r w:rsidR="009938C7">
            <w:rPr>
              <w:rStyle w:val="Sidetall"/>
              <w:rFonts w:ascii="Arial" w:hAnsi="Arial" w:cs="Arial"/>
            </w:rPr>
            <w:t>1</w:t>
          </w:r>
          <w:r w:rsidRPr="0043629D">
            <w:rPr>
              <w:rStyle w:val="Sidetall"/>
              <w:rFonts w:ascii="Arial" w:hAnsi="Arial" w:cs="Arial"/>
            </w:rPr>
            <w:fldChar w:fldCharType="end"/>
          </w:r>
          <w:r w:rsidRPr="0043629D">
            <w:rPr>
              <w:rStyle w:val="Sidetall"/>
              <w:rFonts w:ascii="Arial" w:hAnsi="Arial" w:cs="Arial"/>
            </w:rPr>
            <w:t>/</w:t>
          </w:r>
          <w:r w:rsidRPr="0043629D">
            <w:rPr>
              <w:rStyle w:val="Sidetall"/>
              <w:rFonts w:ascii="Arial" w:hAnsi="Arial" w:cs="Arial"/>
            </w:rPr>
            <w:fldChar w:fldCharType="begin"/>
          </w:r>
          <w:r w:rsidRPr="0043629D">
            <w:rPr>
              <w:rStyle w:val="Sidetall"/>
              <w:rFonts w:ascii="Arial" w:hAnsi="Arial" w:cs="Arial"/>
            </w:rPr>
            <w:instrText xml:space="preserve"> NUMPAGES </w:instrText>
          </w:r>
          <w:r w:rsidRPr="0043629D">
            <w:rPr>
              <w:rStyle w:val="Sidetall"/>
              <w:rFonts w:ascii="Arial" w:hAnsi="Arial" w:cs="Arial"/>
            </w:rPr>
            <w:fldChar w:fldCharType="separate"/>
          </w:r>
          <w:r w:rsidR="009938C7">
            <w:rPr>
              <w:rStyle w:val="Sidetall"/>
              <w:rFonts w:ascii="Arial" w:hAnsi="Arial" w:cs="Arial"/>
            </w:rPr>
            <w:t>3</w:t>
          </w:r>
          <w:r w:rsidRPr="0043629D">
            <w:rPr>
              <w:rStyle w:val="Sidetall"/>
              <w:rFonts w:ascii="Arial" w:hAnsi="Arial" w:cs="Arial"/>
            </w:rPr>
            <w:fldChar w:fldCharType="end"/>
          </w:r>
        </w:p>
      </w:tc>
      <w:tc>
        <w:tcPr>
          <w:tcW w:w="3781" w:type="dxa"/>
        </w:tcPr>
        <w:p w14:paraId="09673D31" w14:textId="77777777" w:rsidR="00C236DE" w:rsidRDefault="00C236DE" w:rsidP="000E545F">
          <w:pPr>
            <w:pStyle w:val="Bunntekst"/>
            <w:rPr>
              <w:rFonts w:ascii="Arial" w:hAnsi="Arial" w:cs="Arial"/>
              <w:b/>
              <w:sz w:val="24"/>
              <w:szCs w:val="24"/>
              <w:lang w:eastAsia="en-GB"/>
            </w:rPr>
          </w:pPr>
        </w:p>
      </w:tc>
    </w:tr>
  </w:tbl>
  <w:p w14:paraId="09673D33" w14:textId="77777777" w:rsidR="00C236DE" w:rsidRDefault="00C236D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2D45" w14:textId="77777777" w:rsidR="008C0056" w:rsidRDefault="008C0056">
      <w:r>
        <w:separator/>
      </w:r>
    </w:p>
  </w:footnote>
  <w:footnote w:type="continuationSeparator" w:id="0">
    <w:p w14:paraId="2668F96B" w14:textId="77777777" w:rsidR="008C0056" w:rsidRDefault="008C0056">
      <w:r>
        <w:continuationSeparator/>
      </w:r>
    </w:p>
  </w:footnote>
  <w:footnote w:type="continuationNotice" w:id="1">
    <w:p w14:paraId="2CB7DB32" w14:textId="77777777" w:rsidR="008C0056" w:rsidRDefault="008C0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000" w:firstRow="0" w:lastRow="0" w:firstColumn="0" w:lastColumn="0" w:noHBand="0" w:noVBand="0"/>
    </w:tblPr>
    <w:tblGrid>
      <w:gridCol w:w="5353"/>
      <w:gridCol w:w="4394"/>
    </w:tblGrid>
    <w:tr w:rsidR="00C236DE" w14:paraId="09673D03" w14:textId="77777777" w:rsidTr="007B1293">
      <w:trPr>
        <w:trHeight w:val="1419"/>
      </w:trPr>
      <w:tc>
        <w:tcPr>
          <w:tcW w:w="5353" w:type="dxa"/>
        </w:tcPr>
        <w:p w14:paraId="09673CFF" w14:textId="2CC68A32" w:rsidR="00C236DE" w:rsidRDefault="00D73954" w:rsidP="00E84BC8">
          <w:pPr>
            <w:pStyle w:val="Topptekst"/>
            <w:tabs>
              <w:tab w:val="clear" w:pos="4536"/>
              <w:tab w:val="left" w:pos="465"/>
              <w:tab w:val="center" w:pos="4962"/>
              <w:tab w:val="right" w:pos="9638"/>
            </w:tabs>
            <w:ind w:left="-113" w:right="-251"/>
            <w:rPr>
              <w:rFonts w:ascii="Arial" w:hAnsi="Arial" w:cs="Arial"/>
              <w:b/>
              <w:sz w:val="24"/>
              <w:szCs w:val="24"/>
            </w:rPr>
          </w:pPr>
          <w:r w:rsidRPr="00492F8B">
            <w:rPr>
              <w:rFonts w:ascii="Arial" w:hAnsi="Arial" w:cs="Arial"/>
              <w:b/>
              <w:sz w:val="24"/>
              <w:szCs w:val="24"/>
            </w:rPr>
            <w:t>2</w:t>
          </w:r>
          <w:r w:rsidR="00CE1059">
            <w:rPr>
              <w:rFonts w:ascii="Arial" w:hAnsi="Arial" w:cs="Arial"/>
              <w:b/>
              <w:sz w:val="24"/>
              <w:szCs w:val="24"/>
            </w:rPr>
            <w:t>5</w:t>
          </w:r>
          <w:r>
            <w:rPr>
              <w:rFonts w:ascii="Arial" w:hAnsi="Arial" w:cs="Arial"/>
              <w:b/>
              <w:sz w:val="24"/>
              <w:szCs w:val="24"/>
            </w:rPr>
            <w:t>I</w:t>
          </w:r>
          <w:r w:rsidR="00CE1059">
            <w:rPr>
              <w:rFonts w:ascii="Arial" w:hAnsi="Arial" w:cs="Arial"/>
              <w:b/>
              <w:sz w:val="24"/>
              <w:szCs w:val="24"/>
            </w:rPr>
            <w:t>EM</w:t>
          </w:r>
          <w:r w:rsidRPr="00492F8B">
            <w:rPr>
              <w:rFonts w:ascii="Arial" w:hAnsi="Arial" w:cs="Arial"/>
              <w:b/>
              <w:sz w:val="24"/>
              <w:szCs w:val="24"/>
            </w:rPr>
            <w:t>01</w:t>
          </w:r>
          <w:r w:rsidR="00CE1059">
            <w:rPr>
              <w:rFonts w:ascii="Arial" w:hAnsi="Arial" w:cs="Arial"/>
              <w:b/>
              <w:sz w:val="24"/>
              <w:szCs w:val="24"/>
            </w:rPr>
            <w:t xml:space="preserve"> S-</w:t>
          </w:r>
          <w:proofErr w:type="spellStart"/>
          <w:r w:rsidR="00CE1059">
            <w:rPr>
              <w:rFonts w:ascii="Arial" w:hAnsi="Arial" w:cs="Arial"/>
              <w:b/>
              <w:sz w:val="24"/>
              <w:szCs w:val="24"/>
            </w:rPr>
            <w:t>CALe</w:t>
          </w:r>
          <w:proofErr w:type="spellEnd"/>
          <w:r w:rsidR="00CE1059">
            <w:rPr>
              <w:rFonts w:ascii="Arial" w:hAnsi="Arial" w:cs="Arial"/>
              <w:b/>
              <w:sz w:val="24"/>
              <w:szCs w:val="24"/>
            </w:rPr>
            <w:t xml:space="preserve"> </w:t>
          </w:r>
          <w:proofErr w:type="spellStart"/>
          <w:r w:rsidR="00CE1059">
            <w:rPr>
              <w:rFonts w:ascii="Arial" w:hAnsi="Arial" w:cs="Arial"/>
              <w:b/>
              <w:sz w:val="24"/>
              <w:szCs w:val="24"/>
            </w:rPr>
            <w:t>iIT</w:t>
          </w:r>
          <w:proofErr w:type="spellEnd"/>
        </w:p>
        <w:p w14:paraId="09673D00" w14:textId="77777777" w:rsidR="00C236DE" w:rsidRDefault="00C236DE" w:rsidP="00E84BC8">
          <w:pPr>
            <w:pStyle w:val="Topptekst"/>
            <w:tabs>
              <w:tab w:val="clear" w:pos="4536"/>
              <w:tab w:val="left" w:pos="465"/>
              <w:tab w:val="center" w:pos="4962"/>
              <w:tab w:val="right" w:pos="9638"/>
            </w:tabs>
            <w:ind w:left="-113" w:right="-251"/>
            <w:rPr>
              <w:rFonts w:ascii="Arial" w:hAnsi="Arial" w:cs="Arial"/>
              <w:b/>
              <w:sz w:val="24"/>
              <w:szCs w:val="24"/>
            </w:rPr>
          </w:pPr>
        </w:p>
        <w:p w14:paraId="09673D01" w14:textId="77777777" w:rsidR="00C236DE" w:rsidRPr="00A7566B" w:rsidRDefault="00C236DE" w:rsidP="00E84BC8">
          <w:pPr>
            <w:pStyle w:val="Topptekst"/>
            <w:tabs>
              <w:tab w:val="clear" w:pos="4536"/>
              <w:tab w:val="left" w:pos="465"/>
              <w:tab w:val="center" w:pos="4962"/>
              <w:tab w:val="right" w:pos="9638"/>
            </w:tabs>
            <w:ind w:left="-113" w:right="-251"/>
            <w:rPr>
              <w:rFonts w:ascii="Arial" w:hAnsi="Arial" w:cs="Arial"/>
              <w:b/>
            </w:rPr>
          </w:pPr>
        </w:p>
      </w:tc>
      <w:tc>
        <w:tcPr>
          <w:tcW w:w="4394" w:type="dxa"/>
        </w:tcPr>
        <w:p w14:paraId="09673D02" w14:textId="4DEE81FE" w:rsidR="00C236DE" w:rsidRDefault="00C236DE">
          <w:pPr>
            <w:pStyle w:val="Topptekst"/>
            <w:tabs>
              <w:tab w:val="left" w:pos="465"/>
              <w:tab w:val="right" w:pos="9638"/>
            </w:tabs>
            <w:jc w:val="right"/>
            <w:rPr>
              <w:rFonts w:ascii="Arial" w:hAnsi="Arial" w:cs="Arial"/>
              <w:b/>
            </w:rPr>
          </w:pPr>
          <w:r>
            <w:rPr>
              <w:noProof/>
              <w:lang w:eastAsia="en-GB"/>
            </w:rPr>
            <w:drawing>
              <wp:inline distT="0" distB="0" distL="0" distR="0" wp14:anchorId="51FDCEE7" wp14:editId="1BB1F1E5">
                <wp:extent cx="1383258" cy="714375"/>
                <wp:effectExtent l="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amet (RGB) cc.jpg"/>
                        <pic:cNvPicPr/>
                      </pic:nvPicPr>
                      <pic:blipFill>
                        <a:blip r:embed="rId1">
                          <a:extLst>
                            <a:ext uri="{28A0092B-C50C-407E-A947-70E740481C1C}">
                              <a14:useLocalDpi xmlns:a14="http://schemas.microsoft.com/office/drawing/2010/main" val="0"/>
                            </a:ext>
                          </a:extLst>
                        </a:blip>
                        <a:stretch>
                          <a:fillRect/>
                        </a:stretch>
                      </pic:blipFill>
                      <pic:spPr>
                        <a:xfrm>
                          <a:off x="0" y="0"/>
                          <a:ext cx="1403723" cy="724944"/>
                        </a:xfrm>
                        <a:prstGeom prst="rect">
                          <a:avLst/>
                        </a:prstGeom>
                      </pic:spPr>
                    </pic:pic>
                  </a:graphicData>
                </a:graphic>
              </wp:inline>
            </w:drawing>
          </w:r>
        </w:p>
      </w:tc>
    </w:tr>
  </w:tbl>
  <w:p w14:paraId="09673D04" w14:textId="77777777" w:rsidR="00C236DE" w:rsidRPr="00B66FC4" w:rsidRDefault="00C236DE">
    <w:pPr>
      <w:pStyle w:val="Topptekst"/>
      <w:tabs>
        <w:tab w:val="left" w:pos="465"/>
        <w:tab w:val="right" w:pos="9638"/>
      </w:tabs>
      <w:rPr>
        <w:rFonts w:ascii="Arial" w:hAnsi="Arial" w:cs="Arial"/>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ayout w:type="fixed"/>
      <w:tblLook w:val="01E0" w:firstRow="1" w:lastRow="1" w:firstColumn="1" w:lastColumn="1" w:noHBand="0" w:noVBand="0"/>
    </w:tblPr>
    <w:tblGrid>
      <w:gridCol w:w="6062"/>
      <w:gridCol w:w="3685"/>
    </w:tblGrid>
    <w:tr w:rsidR="00C236DE" w14:paraId="09673D11" w14:textId="77777777" w:rsidTr="000A3790">
      <w:trPr>
        <w:cantSplit/>
        <w:trHeight w:hRule="exact" w:val="282"/>
      </w:trPr>
      <w:tc>
        <w:tcPr>
          <w:tcW w:w="6062" w:type="dxa"/>
        </w:tcPr>
        <w:p w14:paraId="09673D0F" w14:textId="22AE7143" w:rsidR="00C236DE" w:rsidRDefault="006573AE" w:rsidP="00E84BC8">
          <w:pPr>
            <w:pStyle w:val="Topptekst"/>
            <w:ind w:left="-113"/>
            <w:rPr>
              <w:rFonts w:ascii="Arial" w:hAnsi="Arial" w:cs="Arial"/>
              <w:b/>
              <w:sz w:val="24"/>
              <w:szCs w:val="24"/>
            </w:rPr>
          </w:pPr>
          <w:r>
            <w:rPr>
              <w:rFonts w:ascii="Arial" w:hAnsi="Arial" w:cs="Arial"/>
              <w:b/>
              <w:sz w:val="24"/>
              <w:szCs w:val="24"/>
            </w:rPr>
            <w:t xml:space="preserve"> </w:t>
          </w:r>
        </w:p>
      </w:tc>
      <w:tc>
        <w:tcPr>
          <w:tcW w:w="3685" w:type="dxa"/>
          <w:vMerge w:val="restart"/>
          <w:tcMar>
            <w:left w:w="0" w:type="dxa"/>
            <w:right w:w="0" w:type="dxa"/>
          </w:tcMar>
        </w:tcPr>
        <w:p w14:paraId="09673D10" w14:textId="269E962B" w:rsidR="00C236DE" w:rsidRDefault="00C236DE">
          <w:pPr>
            <w:pStyle w:val="Topptekst"/>
            <w:jc w:val="right"/>
            <w:rPr>
              <w:rFonts w:ascii="Arial" w:hAnsi="Arial" w:cs="Arial"/>
              <w:b/>
              <w:sz w:val="24"/>
              <w:szCs w:val="24"/>
            </w:rPr>
          </w:pPr>
          <w:r>
            <w:rPr>
              <w:noProof/>
              <w:lang w:eastAsia="en-GB"/>
            </w:rPr>
            <w:drawing>
              <wp:inline distT="0" distB="0" distL="0" distR="0" wp14:anchorId="2CF3AAE4" wp14:editId="445493E4">
                <wp:extent cx="1848033" cy="9544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amet (RGB) cc.jpg"/>
                        <pic:cNvPicPr/>
                      </pic:nvPicPr>
                      <pic:blipFill>
                        <a:blip r:embed="rId1">
                          <a:extLst>
                            <a:ext uri="{28A0092B-C50C-407E-A947-70E740481C1C}">
                              <a14:useLocalDpi xmlns:a14="http://schemas.microsoft.com/office/drawing/2010/main" val="0"/>
                            </a:ext>
                          </a:extLst>
                        </a:blip>
                        <a:stretch>
                          <a:fillRect/>
                        </a:stretch>
                      </pic:blipFill>
                      <pic:spPr>
                        <a:xfrm>
                          <a:off x="0" y="0"/>
                          <a:ext cx="1870726" cy="966125"/>
                        </a:xfrm>
                        <a:prstGeom prst="rect">
                          <a:avLst/>
                        </a:prstGeom>
                      </pic:spPr>
                    </pic:pic>
                  </a:graphicData>
                </a:graphic>
              </wp:inline>
            </w:drawing>
          </w:r>
        </w:p>
      </w:tc>
    </w:tr>
    <w:tr w:rsidR="00C236DE" w:rsidRPr="00413D63" w14:paraId="09673D18" w14:textId="77777777" w:rsidTr="000A3790">
      <w:trPr>
        <w:cantSplit/>
        <w:trHeight w:val="141"/>
      </w:trPr>
      <w:tc>
        <w:tcPr>
          <w:tcW w:w="6062" w:type="dxa"/>
        </w:tcPr>
        <w:p w14:paraId="09673D12" w14:textId="2A0815C0" w:rsidR="00C236DE" w:rsidRDefault="006573AE" w:rsidP="00E84BC8">
          <w:pPr>
            <w:pStyle w:val="Topptekst"/>
            <w:ind w:left="-113"/>
            <w:rPr>
              <w:rFonts w:ascii="Arial" w:hAnsi="Arial" w:cs="Arial"/>
              <w:b/>
              <w:sz w:val="24"/>
              <w:szCs w:val="24"/>
            </w:rPr>
          </w:pPr>
          <w:r>
            <w:rPr>
              <w:rFonts w:ascii="Arial" w:hAnsi="Arial" w:cs="Arial"/>
              <w:b/>
              <w:sz w:val="24"/>
              <w:szCs w:val="24"/>
            </w:rPr>
            <w:t xml:space="preserve"> </w:t>
          </w:r>
        </w:p>
        <w:p w14:paraId="09673D14" w14:textId="77777777" w:rsidR="00C236DE" w:rsidRDefault="00C236DE" w:rsidP="00E84BC8">
          <w:pPr>
            <w:pStyle w:val="Topptekst"/>
            <w:ind w:left="-113"/>
            <w:rPr>
              <w:rFonts w:ascii="Arial" w:hAnsi="Arial" w:cs="Arial"/>
              <w:b/>
              <w:sz w:val="24"/>
              <w:szCs w:val="24"/>
            </w:rPr>
          </w:pPr>
        </w:p>
        <w:p w14:paraId="09673D15" w14:textId="77777777" w:rsidR="00C236DE" w:rsidRDefault="00C236DE" w:rsidP="00E84BC8">
          <w:pPr>
            <w:pStyle w:val="Topptekst"/>
            <w:ind w:left="-113"/>
            <w:rPr>
              <w:rFonts w:ascii="Arial" w:hAnsi="Arial" w:cs="Arial"/>
              <w:b/>
              <w:sz w:val="24"/>
              <w:szCs w:val="24"/>
            </w:rPr>
          </w:pPr>
        </w:p>
        <w:p w14:paraId="09673D16" w14:textId="15A465CD" w:rsidR="00C236DE" w:rsidRDefault="00C236DE" w:rsidP="00E84BC8">
          <w:pPr>
            <w:pStyle w:val="Topptekst"/>
            <w:ind w:left="-113"/>
            <w:rPr>
              <w:rFonts w:ascii="Arial" w:hAnsi="Arial" w:cs="Arial"/>
            </w:rPr>
          </w:pPr>
        </w:p>
      </w:tc>
      <w:tc>
        <w:tcPr>
          <w:tcW w:w="3685" w:type="dxa"/>
          <w:vMerge/>
          <w:tcMar>
            <w:left w:w="0" w:type="dxa"/>
            <w:right w:w="0" w:type="dxa"/>
          </w:tcMar>
        </w:tcPr>
        <w:p w14:paraId="09673D17" w14:textId="77777777" w:rsidR="00C236DE" w:rsidRDefault="00C236DE">
          <w:pPr>
            <w:pStyle w:val="Topptekst"/>
            <w:jc w:val="right"/>
            <w:rPr>
              <w:noProof/>
              <w:sz w:val="16"/>
              <w:szCs w:val="16"/>
            </w:rPr>
          </w:pPr>
        </w:p>
      </w:tc>
    </w:tr>
    <w:tr w:rsidR="00C236DE" w14:paraId="09673D1B" w14:textId="77777777" w:rsidTr="000A3790">
      <w:trPr>
        <w:cantSplit/>
        <w:trHeight w:hRule="exact" w:val="370"/>
      </w:trPr>
      <w:tc>
        <w:tcPr>
          <w:tcW w:w="6062" w:type="dxa"/>
        </w:tcPr>
        <w:p w14:paraId="09673D19" w14:textId="77777777" w:rsidR="00C236DE" w:rsidRDefault="00BE75A6" w:rsidP="00E84BC8">
          <w:pPr>
            <w:pStyle w:val="Topptekst"/>
            <w:ind w:left="-113"/>
            <w:rPr>
              <w:rFonts w:ascii="Arial" w:hAnsi="Arial" w:cs="Arial"/>
              <w:sz w:val="16"/>
              <w:szCs w:val="16"/>
            </w:rPr>
          </w:pPr>
          <w:r>
            <w:rPr>
              <w:rFonts w:ascii="Arial" w:hAnsi="Arial" w:cs="Arial"/>
              <w:sz w:val="16"/>
              <w:szCs w:val="16"/>
            </w:rPr>
            <w:pict w14:anchorId="09673D38">
              <v:rect id="_x0000_i1029" style="width:0;height:1.5pt" o:hralign="center" o:hrstd="t" o:hr="t" fillcolor="gray" stroked="f"/>
            </w:pict>
          </w:r>
        </w:p>
      </w:tc>
      <w:tc>
        <w:tcPr>
          <w:tcW w:w="3685" w:type="dxa"/>
          <w:vMerge/>
          <w:tcMar>
            <w:left w:w="0" w:type="dxa"/>
            <w:right w:w="0" w:type="dxa"/>
          </w:tcMar>
        </w:tcPr>
        <w:p w14:paraId="09673D1A" w14:textId="77777777" w:rsidR="00C236DE" w:rsidRDefault="00C236DE">
          <w:pPr>
            <w:pStyle w:val="Topptekst"/>
            <w:jc w:val="right"/>
            <w:rPr>
              <w:noProof/>
              <w:sz w:val="16"/>
              <w:szCs w:val="16"/>
            </w:rPr>
          </w:pPr>
        </w:p>
      </w:tc>
    </w:tr>
  </w:tbl>
  <w:p w14:paraId="09673D1C" w14:textId="77777777" w:rsidR="00C236DE" w:rsidRDefault="00C236DE">
    <w:pPr>
      <w:pStyle w:val="Topptek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A4A"/>
    <w:multiLevelType w:val="hybridMultilevel"/>
    <w:tmpl w:val="7452D52E"/>
    <w:lvl w:ilvl="0" w:tplc="372AA0C6">
      <w:start w:val="3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616BA"/>
    <w:multiLevelType w:val="hybridMultilevel"/>
    <w:tmpl w:val="42B23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62069"/>
    <w:multiLevelType w:val="hybridMultilevel"/>
    <w:tmpl w:val="0B82D19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9B84DDF"/>
    <w:multiLevelType w:val="hybridMultilevel"/>
    <w:tmpl w:val="F116858E"/>
    <w:lvl w:ilvl="0" w:tplc="00FC2FE6">
      <w:start w:val="1"/>
      <w:numFmt w:val="decimal"/>
      <w:pStyle w:val="EMPIRnumberedlistlevel1"/>
      <w:lvlText w:val="%1."/>
      <w:lvlJc w:val="left"/>
      <w:pPr>
        <w:tabs>
          <w:tab w:val="num" w:pos="705"/>
        </w:tabs>
        <w:ind w:left="705" w:hanging="705"/>
      </w:pPr>
      <w:rPr>
        <w:rFonts w:hint="default"/>
      </w:rPr>
    </w:lvl>
    <w:lvl w:ilvl="1" w:tplc="89FE640E">
      <w:start w:val="1"/>
      <w:numFmt w:val="lowerLetter"/>
      <w:pStyle w:val="EMPIRnumberedlistlevel2"/>
      <w:lvlText w:val="%2."/>
      <w:lvlJc w:val="left"/>
      <w:pPr>
        <w:tabs>
          <w:tab w:val="num" w:pos="1080"/>
        </w:tabs>
        <w:ind w:left="1080" w:hanging="360"/>
      </w:pPr>
    </w:lvl>
    <w:lvl w:ilvl="2" w:tplc="A47835F4">
      <w:start w:val="1"/>
      <w:numFmt w:val="lowerRoman"/>
      <w:lvlText w:val="(%3)"/>
      <w:lvlJc w:val="left"/>
      <w:pPr>
        <w:tabs>
          <w:tab w:val="num" w:pos="2340"/>
        </w:tabs>
        <w:ind w:left="2340" w:hanging="720"/>
      </w:pPr>
      <w:rPr>
        <w:rFonts w:hint="default"/>
      </w:rPr>
    </w:lvl>
    <w:lvl w:ilvl="3" w:tplc="0FA2153A">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F54674C">
      <w:numFmt w:val="bullet"/>
      <w:lvlText w:val="•"/>
      <w:lvlJc w:val="left"/>
      <w:pPr>
        <w:ind w:left="4500" w:hanging="720"/>
      </w:pPr>
      <w:rPr>
        <w:rFonts w:ascii="Arial" w:eastAsia="Calibri" w:hAnsi="Arial" w:cs="Aria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CE4642"/>
    <w:multiLevelType w:val="hybridMultilevel"/>
    <w:tmpl w:val="4C584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81C6A"/>
    <w:multiLevelType w:val="hybridMultilevel"/>
    <w:tmpl w:val="634A7B46"/>
    <w:lvl w:ilvl="0" w:tplc="882C9CAA">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F033A47"/>
    <w:multiLevelType w:val="hybridMultilevel"/>
    <w:tmpl w:val="B680D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93097"/>
    <w:multiLevelType w:val="hybridMultilevel"/>
    <w:tmpl w:val="259C5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4E4912"/>
    <w:multiLevelType w:val="hybridMultilevel"/>
    <w:tmpl w:val="EFE233C2"/>
    <w:lvl w:ilvl="0" w:tplc="0E3EE778">
      <w:start w:val="1"/>
      <w:numFmt w:val="bullet"/>
      <w:pStyle w:val="EMRPbulletslevel1"/>
      <w:lvlText w:val=""/>
      <w:lvlJc w:val="left"/>
      <w:pPr>
        <w:tabs>
          <w:tab w:val="num" w:pos="680"/>
        </w:tabs>
        <w:ind w:left="680" w:hanging="396"/>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1E2468D"/>
    <w:multiLevelType w:val="hybridMultilevel"/>
    <w:tmpl w:val="A248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6502F"/>
    <w:multiLevelType w:val="hybridMultilevel"/>
    <w:tmpl w:val="7728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C2B33"/>
    <w:multiLevelType w:val="hybridMultilevel"/>
    <w:tmpl w:val="F3FEF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650A46"/>
    <w:multiLevelType w:val="hybridMultilevel"/>
    <w:tmpl w:val="ABCC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723461"/>
    <w:multiLevelType w:val="hybridMultilevel"/>
    <w:tmpl w:val="6BE011E0"/>
    <w:lvl w:ilvl="0" w:tplc="5EE86F96">
      <w:start w:val="1"/>
      <w:numFmt w:val="lowerLetter"/>
      <w:lvlText w:val="(%1)"/>
      <w:lvlJc w:val="left"/>
      <w:pPr>
        <w:tabs>
          <w:tab w:val="num" w:pos="502"/>
        </w:tabs>
        <w:ind w:left="502"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07384"/>
    <w:multiLevelType w:val="hybridMultilevel"/>
    <w:tmpl w:val="DEB8D68A"/>
    <w:lvl w:ilvl="0" w:tplc="A818108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7C7F50"/>
    <w:multiLevelType w:val="hybridMultilevel"/>
    <w:tmpl w:val="67B86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940F3"/>
    <w:multiLevelType w:val="hybridMultilevel"/>
    <w:tmpl w:val="525CEA42"/>
    <w:lvl w:ilvl="0" w:tplc="6EA64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141631">
    <w:abstractNumId w:val="8"/>
  </w:num>
  <w:num w:numId="2" w16cid:durableId="1983150398">
    <w:abstractNumId w:val="5"/>
  </w:num>
  <w:num w:numId="3" w16cid:durableId="576284288">
    <w:abstractNumId w:val="2"/>
  </w:num>
  <w:num w:numId="4" w16cid:durableId="109322528">
    <w:abstractNumId w:val="15"/>
  </w:num>
  <w:num w:numId="5" w16cid:durableId="199242932">
    <w:abstractNumId w:val="0"/>
  </w:num>
  <w:num w:numId="6" w16cid:durableId="1640720002">
    <w:abstractNumId w:val="6"/>
  </w:num>
  <w:num w:numId="7" w16cid:durableId="1191379846">
    <w:abstractNumId w:val="4"/>
  </w:num>
  <w:num w:numId="8" w16cid:durableId="360202233">
    <w:abstractNumId w:val="11"/>
  </w:num>
  <w:num w:numId="9" w16cid:durableId="327561124">
    <w:abstractNumId w:val="16"/>
  </w:num>
  <w:num w:numId="10" w16cid:durableId="1371766640">
    <w:abstractNumId w:val="13"/>
  </w:num>
  <w:num w:numId="11" w16cid:durableId="846866200">
    <w:abstractNumId w:val="7"/>
  </w:num>
  <w:num w:numId="12" w16cid:durableId="135152405">
    <w:abstractNumId w:val="10"/>
  </w:num>
  <w:num w:numId="13" w16cid:durableId="582375457">
    <w:abstractNumId w:val="1"/>
  </w:num>
  <w:num w:numId="14" w16cid:durableId="1268393507">
    <w:abstractNumId w:val="14"/>
  </w:num>
  <w:num w:numId="15" w16cid:durableId="2078939559">
    <w:abstractNumId w:val="9"/>
  </w:num>
  <w:num w:numId="16" w16cid:durableId="88241448">
    <w:abstractNumId w:val="12"/>
  </w:num>
  <w:num w:numId="17" w16cid:durableId="940380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028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59"/>
    <w:rsid w:val="000135D2"/>
    <w:rsid w:val="00020470"/>
    <w:rsid w:val="00021A38"/>
    <w:rsid w:val="000275A5"/>
    <w:rsid w:val="000330AE"/>
    <w:rsid w:val="000331A6"/>
    <w:rsid w:val="000701BD"/>
    <w:rsid w:val="000733E4"/>
    <w:rsid w:val="00080089"/>
    <w:rsid w:val="000827C2"/>
    <w:rsid w:val="000847FC"/>
    <w:rsid w:val="00084B34"/>
    <w:rsid w:val="00095C9F"/>
    <w:rsid w:val="000A3790"/>
    <w:rsid w:val="000A7D24"/>
    <w:rsid w:val="000B39AD"/>
    <w:rsid w:val="000C2585"/>
    <w:rsid w:val="000E1F39"/>
    <w:rsid w:val="000E545F"/>
    <w:rsid w:val="000F1CE1"/>
    <w:rsid w:val="000F65A4"/>
    <w:rsid w:val="00100510"/>
    <w:rsid w:val="0011235D"/>
    <w:rsid w:val="00120E77"/>
    <w:rsid w:val="00125BA3"/>
    <w:rsid w:val="00125F63"/>
    <w:rsid w:val="00135AB0"/>
    <w:rsid w:val="00141D2F"/>
    <w:rsid w:val="00143292"/>
    <w:rsid w:val="0016333A"/>
    <w:rsid w:val="00173668"/>
    <w:rsid w:val="001848A8"/>
    <w:rsid w:val="00185373"/>
    <w:rsid w:val="001A1A5A"/>
    <w:rsid w:val="001A36BC"/>
    <w:rsid w:val="001A64B5"/>
    <w:rsid w:val="001A695E"/>
    <w:rsid w:val="001B0F79"/>
    <w:rsid w:val="001B29B0"/>
    <w:rsid w:val="001B3F57"/>
    <w:rsid w:val="001C0255"/>
    <w:rsid w:val="001E24A9"/>
    <w:rsid w:val="001E3094"/>
    <w:rsid w:val="001E6973"/>
    <w:rsid w:val="001E7533"/>
    <w:rsid w:val="001F51B3"/>
    <w:rsid w:val="00210E35"/>
    <w:rsid w:val="0022219C"/>
    <w:rsid w:val="00231AC9"/>
    <w:rsid w:val="0023733B"/>
    <w:rsid w:val="00256D79"/>
    <w:rsid w:val="00262FB1"/>
    <w:rsid w:val="002630E4"/>
    <w:rsid w:val="00273FEE"/>
    <w:rsid w:val="002766F5"/>
    <w:rsid w:val="00277A6D"/>
    <w:rsid w:val="0028207D"/>
    <w:rsid w:val="00287136"/>
    <w:rsid w:val="00287F50"/>
    <w:rsid w:val="00290A95"/>
    <w:rsid w:val="00294821"/>
    <w:rsid w:val="00296074"/>
    <w:rsid w:val="002A021B"/>
    <w:rsid w:val="002B64F3"/>
    <w:rsid w:val="002B6A6C"/>
    <w:rsid w:val="002C0CF9"/>
    <w:rsid w:val="002D08B2"/>
    <w:rsid w:val="002D62D0"/>
    <w:rsid w:val="002E2677"/>
    <w:rsid w:val="0030126A"/>
    <w:rsid w:val="003020FF"/>
    <w:rsid w:val="00303F17"/>
    <w:rsid w:val="00304847"/>
    <w:rsid w:val="00315141"/>
    <w:rsid w:val="00325A54"/>
    <w:rsid w:val="0033297F"/>
    <w:rsid w:val="00340A88"/>
    <w:rsid w:val="003416A5"/>
    <w:rsid w:val="003459F1"/>
    <w:rsid w:val="00350EF4"/>
    <w:rsid w:val="0035533A"/>
    <w:rsid w:val="0036211B"/>
    <w:rsid w:val="00362E2C"/>
    <w:rsid w:val="00372065"/>
    <w:rsid w:val="003750EF"/>
    <w:rsid w:val="0038230D"/>
    <w:rsid w:val="00384484"/>
    <w:rsid w:val="00384C56"/>
    <w:rsid w:val="00387871"/>
    <w:rsid w:val="003A1222"/>
    <w:rsid w:val="003B5E75"/>
    <w:rsid w:val="003C34D7"/>
    <w:rsid w:val="003C65C8"/>
    <w:rsid w:val="003D08CC"/>
    <w:rsid w:val="003D286D"/>
    <w:rsid w:val="003D4044"/>
    <w:rsid w:val="003D5F6F"/>
    <w:rsid w:val="003E60FE"/>
    <w:rsid w:val="003F3C59"/>
    <w:rsid w:val="003F5EE9"/>
    <w:rsid w:val="003F609B"/>
    <w:rsid w:val="003F7499"/>
    <w:rsid w:val="0040685B"/>
    <w:rsid w:val="00413D63"/>
    <w:rsid w:val="00420028"/>
    <w:rsid w:val="0042342A"/>
    <w:rsid w:val="00433FB8"/>
    <w:rsid w:val="0043689F"/>
    <w:rsid w:val="00440069"/>
    <w:rsid w:val="0044072E"/>
    <w:rsid w:val="004440FA"/>
    <w:rsid w:val="004516C7"/>
    <w:rsid w:val="0045592B"/>
    <w:rsid w:val="00460B54"/>
    <w:rsid w:val="00460F4B"/>
    <w:rsid w:val="00467611"/>
    <w:rsid w:val="0047222B"/>
    <w:rsid w:val="00483571"/>
    <w:rsid w:val="00486CAA"/>
    <w:rsid w:val="004902E1"/>
    <w:rsid w:val="00490ACF"/>
    <w:rsid w:val="00492F8B"/>
    <w:rsid w:val="0049499B"/>
    <w:rsid w:val="00495110"/>
    <w:rsid w:val="004A0544"/>
    <w:rsid w:val="004A410C"/>
    <w:rsid w:val="004A53B0"/>
    <w:rsid w:val="004B24D1"/>
    <w:rsid w:val="004B3CC2"/>
    <w:rsid w:val="004B6315"/>
    <w:rsid w:val="004C61DD"/>
    <w:rsid w:val="004E5B14"/>
    <w:rsid w:val="004F3387"/>
    <w:rsid w:val="004F4E27"/>
    <w:rsid w:val="004F4E51"/>
    <w:rsid w:val="0050070E"/>
    <w:rsid w:val="0051740A"/>
    <w:rsid w:val="005265D5"/>
    <w:rsid w:val="005329DF"/>
    <w:rsid w:val="00534776"/>
    <w:rsid w:val="00545CDF"/>
    <w:rsid w:val="0055221D"/>
    <w:rsid w:val="005527B4"/>
    <w:rsid w:val="00554932"/>
    <w:rsid w:val="00557A82"/>
    <w:rsid w:val="00560DDE"/>
    <w:rsid w:val="00565B66"/>
    <w:rsid w:val="00574B24"/>
    <w:rsid w:val="005776CB"/>
    <w:rsid w:val="0058054C"/>
    <w:rsid w:val="005945D8"/>
    <w:rsid w:val="0059557C"/>
    <w:rsid w:val="00596E61"/>
    <w:rsid w:val="005B2805"/>
    <w:rsid w:val="005B5C79"/>
    <w:rsid w:val="005C1416"/>
    <w:rsid w:val="005C5C17"/>
    <w:rsid w:val="005C6A15"/>
    <w:rsid w:val="00600072"/>
    <w:rsid w:val="00607EFF"/>
    <w:rsid w:val="00610BEF"/>
    <w:rsid w:val="00614006"/>
    <w:rsid w:val="00616B9E"/>
    <w:rsid w:val="006236AE"/>
    <w:rsid w:val="00623E57"/>
    <w:rsid w:val="006254B7"/>
    <w:rsid w:val="00626AD9"/>
    <w:rsid w:val="006271DE"/>
    <w:rsid w:val="006327D7"/>
    <w:rsid w:val="00635C1C"/>
    <w:rsid w:val="006410EF"/>
    <w:rsid w:val="0065241F"/>
    <w:rsid w:val="00652B3E"/>
    <w:rsid w:val="006573AE"/>
    <w:rsid w:val="00665AC4"/>
    <w:rsid w:val="00665D86"/>
    <w:rsid w:val="006742B4"/>
    <w:rsid w:val="00677F7F"/>
    <w:rsid w:val="00690343"/>
    <w:rsid w:val="00697CAD"/>
    <w:rsid w:val="006A6C5D"/>
    <w:rsid w:val="006A7883"/>
    <w:rsid w:val="006B6CE0"/>
    <w:rsid w:val="006C2CBC"/>
    <w:rsid w:val="006C2FCE"/>
    <w:rsid w:val="006C68B6"/>
    <w:rsid w:val="006D0558"/>
    <w:rsid w:val="006D7141"/>
    <w:rsid w:val="006E25D7"/>
    <w:rsid w:val="006E67B6"/>
    <w:rsid w:val="007020FD"/>
    <w:rsid w:val="00711110"/>
    <w:rsid w:val="00722C84"/>
    <w:rsid w:val="00726A54"/>
    <w:rsid w:val="0073530F"/>
    <w:rsid w:val="00746C6D"/>
    <w:rsid w:val="007500BF"/>
    <w:rsid w:val="007573E1"/>
    <w:rsid w:val="00764920"/>
    <w:rsid w:val="007660F6"/>
    <w:rsid w:val="00771515"/>
    <w:rsid w:val="007737A6"/>
    <w:rsid w:val="00777160"/>
    <w:rsid w:val="00777FC7"/>
    <w:rsid w:val="007819CF"/>
    <w:rsid w:val="00784A05"/>
    <w:rsid w:val="00794949"/>
    <w:rsid w:val="007B1293"/>
    <w:rsid w:val="007B6C22"/>
    <w:rsid w:val="007B78D8"/>
    <w:rsid w:val="007E2A83"/>
    <w:rsid w:val="007E5F2E"/>
    <w:rsid w:val="007F5039"/>
    <w:rsid w:val="00803EDE"/>
    <w:rsid w:val="00814BD4"/>
    <w:rsid w:val="0081536F"/>
    <w:rsid w:val="008176E6"/>
    <w:rsid w:val="00823440"/>
    <w:rsid w:val="0082596D"/>
    <w:rsid w:val="00831F69"/>
    <w:rsid w:val="008358B5"/>
    <w:rsid w:val="00841EAD"/>
    <w:rsid w:val="00846559"/>
    <w:rsid w:val="00854F0B"/>
    <w:rsid w:val="008624B3"/>
    <w:rsid w:val="0086413D"/>
    <w:rsid w:val="00864CB7"/>
    <w:rsid w:val="0086579B"/>
    <w:rsid w:val="00873068"/>
    <w:rsid w:val="0088179F"/>
    <w:rsid w:val="00885F16"/>
    <w:rsid w:val="008A4933"/>
    <w:rsid w:val="008B353A"/>
    <w:rsid w:val="008B6DD6"/>
    <w:rsid w:val="008C0056"/>
    <w:rsid w:val="008C11DC"/>
    <w:rsid w:val="008C1285"/>
    <w:rsid w:val="008C1597"/>
    <w:rsid w:val="008D1485"/>
    <w:rsid w:val="008E1DD3"/>
    <w:rsid w:val="008E45C3"/>
    <w:rsid w:val="008E704C"/>
    <w:rsid w:val="008F4E09"/>
    <w:rsid w:val="008F588D"/>
    <w:rsid w:val="00906464"/>
    <w:rsid w:val="0091773A"/>
    <w:rsid w:val="00917F02"/>
    <w:rsid w:val="00920B6A"/>
    <w:rsid w:val="00922023"/>
    <w:rsid w:val="00927B3C"/>
    <w:rsid w:val="00931B29"/>
    <w:rsid w:val="00940F25"/>
    <w:rsid w:val="00944DD5"/>
    <w:rsid w:val="009525A7"/>
    <w:rsid w:val="00953D8F"/>
    <w:rsid w:val="00957C63"/>
    <w:rsid w:val="0096683B"/>
    <w:rsid w:val="009938C7"/>
    <w:rsid w:val="00995C7B"/>
    <w:rsid w:val="009A3ED8"/>
    <w:rsid w:val="009A7AD0"/>
    <w:rsid w:val="009B1E74"/>
    <w:rsid w:val="009B2B35"/>
    <w:rsid w:val="009D1427"/>
    <w:rsid w:val="009D365D"/>
    <w:rsid w:val="009D4560"/>
    <w:rsid w:val="00A02F70"/>
    <w:rsid w:val="00A03A8E"/>
    <w:rsid w:val="00A2065E"/>
    <w:rsid w:val="00A305AD"/>
    <w:rsid w:val="00A35BA4"/>
    <w:rsid w:val="00A420AB"/>
    <w:rsid w:val="00A43617"/>
    <w:rsid w:val="00A4692B"/>
    <w:rsid w:val="00A53E6C"/>
    <w:rsid w:val="00A55DBE"/>
    <w:rsid w:val="00A57B10"/>
    <w:rsid w:val="00A60ADE"/>
    <w:rsid w:val="00A7566B"/>
    <w:rsid w:val="00A80D1C"/>
    <w:rsid w:val="00A81192"/>
    <w:rsid w:val="00A860C5"/>
    <w:rsid w:val="00A93BFF"/>
    <w:rsid w:val="00A96F87"/>
    <w:rsid w:val="00AA534B"/>
    <w:rsid w:val="00AB5E65"/>
    <w:rsid w:val="00AB6F8E"/>
    <w:rsid w:val="00AC23AD"/>
    <w:rsid w:val="00AD35A9"/>
    <w:rsid w:val="00AD4D85"/>
    <w:rsid w:val="00AD6A48"/>
    <w:rsid w:val="00AE3E39"/>
    <w:rsid w:val="00AE5754"/>
    <w:rsid w:val="00AE7A01"/>
    <w:rsid w:val="00AF2302"/>
    <w:rsid w:val="00B07A44"/>
    <w:rsid w:val="00B16622"/>
    <w:rsid w:val="00B16822"/>
    <w:rsid w:val="00B31A28"/>
    <w:rsid w:val="00B502D5"/>
    <w:rsid w:val="00B505F9"/>
    <w:rsid w:val="00B526B3"/>
    <w:rsid w:val="00B54D3C"/>
    <w:rsid w:val="00B66FC4"/>
    <w:rsid w:val="00B72E59"/>
    <w:rsid w:val="00B7724E"/>
    <w:rsid w:val="00B84AFD"/>
    <w:rsid w:val="00B90468"/>
    <w:rsid w:val="00B90D67"/>
    <w:rsid w:val="00BB6958"/>
    <w:rsid w:val="00BC2ADF"/>
    <w:rsid w:val="00BE2887"/>
    <w:rsid w:val="00BE41DB"/>
    <w:rsid w:val="00BE75A6"/>
    <w:rsid w:val="00BF16B9"/>
    <w:rsid w:val="00BF45D8"/>
    <w:rsid w:val="00BF4BD5"/>
    <w:rsid w:val="00BF5006"/>
    <w:rsid w:val="00C04A96"/>
    <w:rsid w:val="00C06660"/>
    <w:rsid w:val="00C10E95"/>
    <w:rsid w:val="00C10F79"/>
    <w:rsid w:val="00C16C45"/>
    <w:rsid w:val="00C22518"/>
    <w:rsid w:val="00C236DE"/>
    <w:rsid w:val="00C23B86"/>
    <w:rsid w:val="00C26391"/>
    <w:rsid w:val="00C26601"/>
    <w:rsid w:val="00C32CA7"/>
    <w:rsid w:val="00C3388B"/>
    <w:rsid w:val="00C34776"/>
    <w:rsid w:val="00C472D5"/>
    <w:rsid w:val="00C6662B"/>
    <w:rsid w:val="00C74E73"/>
    <w:rsid w:val="00C75DEA"/>
    <w:rsid w:val="00C91714"/>
    <w:rsid w:val="00C959D4"/>
    <w:rsid w:val="00CB2687"/>
    <w:rsid w:val="00CD57F7"/>
    <w:rsid w:val="00CE1059"/>
    <w:rsid w:val="00CF4741"/>
    <w:rsid w:val="00D137B9"/>
    <w:rsid w:val="00D218AA"/>
    <w:rsid w:val="00D21AEC"/>
    <w:rsid w:val="00D236B8"/>
    <w:rsid w:val="00D3743D"/>
    <w:rsid w:val="00D55300"/>
    <w:rsid w:val="00D66D6D"/>
    <w:rsid w:val="00D73954"/>
    <w:rsid w:val="00D7481C"/>
    <w:rsid w:val="00D7633B"/>
    <w:rsid w:val="00D8147C"/>
    <w:rsid w:val="00D82356"/>
    <w:rsid w:val="00D830FA"/>
    <w:rsid w:val="00D83A77"/>
    <w:rsid w:val="00D92646"/>
    <w:rsid w:val="00D93504"/>
    <w:rsid w:val="00D97C08"/>
    <w:rsid w:val="00DB748C"/>
    <w:rsid w:val="00DC2CF7"/>
    <w:rsid w:val="00DD2137"/>
    <w:rsid w:val="00DD5A75"/>
    <w:rsid w:val="00DE0E76"/>
    <w:rsid w:val="00DE2D5E"/>
    <w:rsid w:val="00DE6264"/>
    <w:rsid w:val="00DF53F6"/>
    <w:rsid w:val="00E03506"/>
    <w:rsid w:val="00E03AB5"/>
    <w:rsid w:val="00E23AE1"/>
    <w:rsid w:val="00E27718"/>
    <w:rsid w:val="00E32BC9"/>
    <w:rsid w:val="00E41604"/>
    <w:rsid w:val="00E44350"/>
    <w:rsid w:val="00E508AE"/>
    <w:rsid w:val="00E51884"/>
    <w:rsid w:val="00E51C04"/>
    <w:rsid w:val="00E5508A"/>
    <w:rsid w:val="00E64CA5"/>
    <w:rsid w:val="00E65F06"/>
    <w:rsid w:val="00E67205"/>
    <w:rsid w:val="00E72C3F"/>
    <w:rsid w:val="00E80484"/>
    <w:rsid w:val="00E829C6"/>
    <w:rsid w:val="00E83884"/>
    <w:rsid w:val="00E84BC8"/>
    <w:rsid w:val="00E903CC"/>
    <w:rsid w:val="00E9136D"/>
    <w:rsid w:val="00E92DED"/>
    <w:rsid w:val="00E92F31"/>
    <w:rsid w:val="00E95208"/>
    <w:rsid w:val="00EB2F2E"/>
    <w:rsid w:val="00EB447C"/>
    <w:rsid w:val="00EC4436"/>
    <w:rsid w:val="00EC5809"/>
    <w:rsid w:val="00EE3074"/>
    <w:rsid w:val="00EE3C5F"/>
    <w:rsid w:val="00EE527C"/>
    <w:rsid w:val="00EE61CF"/>
    <w:rsid w:val="00EF0C10"/>
    <w:rsid w:val="00EF3DE0"/>
    <w:rsid w:val="00EF3FF6"/>
    <w:rsid w:val="00EF4E2F"/>
    <w:rsid w:val="00EF7FC5"/>
    <w:rsid w:val="00F02D0C"/>
    <w:rsid w:val="00F103DD"/>
    <w:rsid w:val="00F14DA3"/>
    <w:rsid w:val="00F24CFA"/>
    <w:rsid w:val="00F24D5D"/>
    <w:rsid w:val="00F31F07"/>
    <w:rsid w:val="00F33779"/>
    <w:rsid w:val="00F35508"/>
    <w:rsid w:val="00F35B0B"/>
    <w:rsid w:val="00F37006"/>
    <w:rsid w:val="00F43AD5"/>
    <w:rsid w:val="00F5330A"/>
    <w:rsid w:val="00F573E5"/>
    <w:rsid w:val="00F60CE9"/>
    <w:rsid w:val="00F6399A"/>
    <w:rsid w:val="00F6532F"/>
    <w:rsid w:val="00F665FA"/>
    <w:rsid w:val="00F6772F"/>
    <w:rsid w:val="00F7142A"/>
    <w:rsid w:val="00F74AD7"/>
    <w:rsid w:val="00F808B8"/>
    <w:rsid w:val="00F90D60"/>
    <w:rsid w:val="00F929F6"/>
    <w:rsid w:val="00F95AB2"/>
    <w:rsid w:val="00F96492"/>
    <w:rsid w:val="00FA2073"/>
    <w:rsid w:val="00FA451C"/>
    <w:rsid w:val="00FA5C86"/>
    <w:rsid w:val="00FB2065"/>
    <w:rsid w:val="00FB4C0D"/>
    <w:rsid w:val="00FB6AB1"/>
    <w:rsid w:val="00FC2F5B"/>
    <w:rsid w:val="00FC3899"/>
    <w:rsid w:val="00FC5DC7"/>
    <w:rsid w:val="00FC6375"/>
    <w:rsid w:val="00FD29CC"/>
    <w:rsid w:val="00FF7D8A"/>
    <w:rsid w:val="45278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85b"/>
    </o:shapedefaults>
    <o:shapelayout v:ext="edit">
      <o:idmap v:ext="edit" data="2"/>
    </o:shapelayout>
  </w:shapeDefaults>
  <w:decimalSymbol w:val=","/>
  <w:listSeparator w:val=";"/>
  <w14:docId w14:val="09673C9E"/>
  <w15:docId w15:val="{B2E6A1A1-D420-4401-8A35-A4320EAD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B9"/>
    <w:rPr>
      <w:lang w:eastAsia="de-DE"/>
    </w:rPr>
  </w:style>
  <w:style w:type="paragraph" w:styleId="Overskrift1">
    <w:name w:val="heading 1"/>
    <w:basedOn w:val="Normal"/>
    <w:next w:val="Normal"/>
    <w:qFormat/>
    <w:pPr>
      <w:keepNext/>
      <w:jc w:val="center"/>
      <w:outlineLvl w:val="0"/>
    </w:pPr>
    <w:rPr>
      <w:rFonts w:ascii="Arial" w:eastAsia="SimSun" w:hAnsi="Arial" w:cs="Arial"/>
      <w:b/>
      <w:bCs/>
      <w:sz w:val="28"/>
      <w:szCs w:val="24"/>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536"/>
        <w:tab w:val="right" w:pos="9072"/>
      </w:tabs>
    </w:pPr>
  </w:style>
  <w:style w:type="paragraph" w:styleId="Bunntekst">
    <w:name w:val="footer"/>
    <w:basedOn w:val="Normal"/>
    <w:semiHidden/>
    <w:pPr>
      <w:tabs>
        <w:tab w:val="center" w:pos="4536"/>
        <w:tab w:val="right" w:pos="9072"/>
      </w:tabs>
    </w:pPr>
  </w:style>
  <w:style w:type="character" w:styleId="Hyperkobling">
    <w:name w:val="Hyperlink"/>
    <w:basedOn w:val="Standardskriftforavsnitt"/>
    <w:uiPriority w:val="99"/>
    <w:rPr>
      <w:color w:val="0000FF"/>
      <w:u w:val="single"/>
    </w:rPr>
  </w:style>
  <w:style w:type="character" w:styleId="Fulgthyperkobling">
    <w:name w:val="FollowedHyperlink"/>
    <w:basedOn w:val="Standardskriftforavsnitt"/>
    <w:semiHidden/>
    <w:rPr>
      <w:color w:val="800080"/>
      <w:u w:val="single"/>
    </w:rPr>
  </w:style>
  <w:style w:type="character" w:styleId="Sidetall">
    <w:name w:val="page number"/>
    <w:basedOn w:val="Standardskriftforavsnitt"/>
    <w:semiHidden/>
  </w:style>
  <w:style w:type="paragraph" w:styleId="Bobletekst">
    <w:name w:val="Balloon Text"/>
    <w:basedOn w:val="Normal"/>
    <w:semiHidden/>
    <w:rPr>
      <w:rFonts w:ascii="Tahoma" w:hAnsi="Tahoma" w:cs="Tahoma"/>
      <w:sz w:val="16"/>
      <w:szCs w:val="16"/>
    </w:rPr>
  </w:style>
  <w:style w:type="paragraph" w:styleId="Brdtekstinnrykk">
    <w:name w:val="Body Text Indent"/>
    <w:basedOn w:val="Normal"/>
    <w:semiHidden/>
    <w:pPr>
      <w:spacing w:before="60"/>
      <w:ind w:left="57"/>
    </w:pPr>
    <w:rPr>
      <w:rFonts w:ascii="Arial" w:hAnsi="Arial" w:cs="Arial"/>
      <w:bCs/>
      <w:color w:val="000000"/>
      <w:sz w:val="14"/>
      <w:szCs w:val="14"/>
    </w:rPr>
  </w:style>
  <w:style w:type="paragraph" w:styleId="Brdtekst">
    <w:name w:val="Body Text"/>
    <w:basedOn w:val="Normal"/>
    <w:semiHidden/>
    <w:pPr>
      <w:spacing w:before="40" w:after="40"/>
    </w:pPr>
    <w:rPr>
      <w:rFonts w:ascii="Arial" w:hAnsi="Arial" w:cs="Arial"/>
      <w:bCs/>
      <w:color w:val="000000"/>
      <w:sz w:val="14"/>
      <w:szCs w:val="14"/>
      <w:lang w:eastAsia="en-US"/>
    </w:rPr>
  </w:style>
  <w:style w:type="paragraph" w:styleId="Brdtekst2">
    <w:name w:val="Body Text 2"/>
    <w:basedOn w:val="Normal"/>
    <w:link w:val="Brdtekst2Tegn"/>
    <w:semiHidden/>
    <w:rPr>
      <w:rFonts w:ascii="Arial" w:eastAsia="SimSun" w:hAnsi="Arial" w:cs="Arial"/>
      <w:sz w:val="22"/>
      <w:lang w:eastAsia="zh-CN"/>
    </w:rPr>
  </w:style>
  <w:style w:type="paragraph" w:customStyle="1" w:styleId="EMRPbodytext">
    <w:name w:val="EMRP body text"/>
    <w:basedOn w:val="Normal"/>
    <w:link w:val="EMRPbodytextChar"/>
    <w:qFormat/>
    <w:pPr>
      <w:spacing w:before="120"/>
      <w:jc w:val="both"/>
    </w:pPr>
    <w:rPr>
      <w:rFonts w:ascii="Arial" w:hAnsi="Arial"/>
    </w:rPr>
  </w:style>
  <w:style w:type="paragraph" w:styleId="INNH3">
    <w:name w:val="toc 3"/>
    <w:basedOn w:val="Normal"/>
    <w:next w:val="Normal"/>
    <w:autoRedefine/>
    <w:semiHidden/>
    <w:pPr>
      <w:tabs>
        <w:tab w:val="left" w:pos="1276"/>
        <w:tab w:val="right" w:leader="dot" w:pos="9639"/>
      </w:tabs>
    </w:pPr>
    <w:rPr>
      <w:rFonts w:ascii="Arial" w:hAnsi="Arial" w:cs="Arial"/>
      <w:b/>
      <w:bCs/>
      <w:noProof/>
      <w:lang w:eastAsia="en-US"/>
    </w:rPr>
  </w:style>
  <w:style w:type="paragraph" w:customStyle="1" w:styleId="EMRPbulletslevel1">
    <w:name w:val="EMRP bullets level1"/>
    <w:rsid w:val="00B31A28"/>
    <w:pPr>
      <w:numPr>
        <w:numId w:val="1"/>
      </w:numPr>
    </w:pPr>
    <w:rPr>
      <w:rFonts w:ascii="Arial" w:hAnsi="Arial"/>
      <w:lang w:eastAsia="en-US"/>
    </w:rPr>
  </w:style>
  <w:style w:type="character" w:customStyle="1" w:styleId="Brdtekst2Tegn">
    <w:name w:val="Brødtekst 2 Tegn"/>
    <w:basedOn w:val="Standardskriftforavsnitt"/>
    <w:link w:val="Brdtekst2"/>
    <w:semiHidden/>
    <w:rsid w:val="0045592B"/>
    <w:rPr>
      <w:rFonts w:ascii="Arial" w:eastAsia="SimSun" w:hAnsi="Arial" w:cs="Arial"/>
      <w:sz w:val="22"/>
      <w:lang w:val="de-DE" w:eastAsia="zh-CN"/>
    </w:rPr>
  </w:style>
  <w:style w:type="character" w:customStyle="1" w:styleId="EMRPbodytextChar">
    <w:name w:val="EMRP body text Char"/>
    <w:link w:val="EMRPbodytext"/>
    <w:rsid w:val="0033297F"/>
    <w:rPr>
      <w:rFonts w:ascii="Arial" w:hAnsi="Arial"/>
      <w:lang w:eastAsia="de-DE"/>
    </w:rPr>
  </w:style>
  <w:style w:type="character" w:customStyle="1" w:styleId="TopptekstTegn">
    <w:name w:val="Topptekst Tegn"/>
    <w:link w:val="Topptekst"/>
    <w:rsid w:val="0033297F"/>
    <w:rPr>
      <w:lang w:val="de-DE" w:eastAsia="de-DE"/>
    </w:rPr>
  </w:style>
  <w:style w:type="paragraph" w:styleId="Listeavsnitt">
    <w:name w:val="List Paragraph"/>
    <w:basedOn w:val="Normal"/>
    <w:uiPriority w:val="34"/>
    <w:qFormat/>
    <w:rsid w:val="00711110"/>
    <w:pPr>
      <w:ind w:left="720"/>
    </w:pPr>
    <w:rPr>
      <w:rFonts w:ascii="Calibri" w:eastAsia="Calibri" w:hAnsi="Calibri" w:cs="Calibri"/>
      <w:sz w:val="22"/>
      <w:szCs w:val="22"/>
      <w:lang w:eastAsia="en-US"/>
    </w:rPr>
  </w:style>
  <w:style w:type="paragraph" w:styleId="NormalWeb">
    <w:name w:val="Normal (Web)"/>
    <w:basedOn w:val="Normal"/>
    <w:uiPriority w:val="99"/>
    <w:semiHidden/>
    <w:unhideWhenUsed/>
    <w:rsid w:val="006236AE"/>
    <w:pPr>
      <w:spacing w:before="100" w:beforeAutospacing="1" w:after="100" w:afterAutospacing="1"/>
    </w:pPr>
    <w:rPr>
      <w:sz w:val="24"/>
      <w:szCs w:val="24"/>
      <w:lang w:eastAsia="en-GB"/>
    </w:rPr>
  </w:style>
  <w:style w:type="character" w:styleId="Merknadsreferanse">
    <w:name w:val="annotation reference"/>
    <w:basedOn w:val="Standardskriftforavsnitt"/>
    <w:uiPriority w:val="99"/>
    <w:semiHidden/>
    <w:unhideWhenUsed/>
    <w:rsid w:val="0050070E"/>
    <w:rPr>
      <w:sz w:val="16"/>
      <w:szCs w:val="16"/>
    </w:rPr>
  </w:style>
  <w:style w:type="paragraph" w:styleId="Merknadstekst">
    <w:name w:val="annotation text"/>
    <w:basedOn w:val="Normal"/>
    <w:link w:val="MerknadstekstTegn"/>
    <w:unhideWhenUsed/>
    <w:qFormat/>
    <w:rsid w:val="00BF16B9"/>
    <w:rPr>
      <w:rFonts w:ascii="Tahoma" w:hAnsi="Tahoma"/>
    </w:rPr>
  </w:style>
  <w:style w:type="character" w:customStyle="1" w:styleId="MerknadstekstTegn">
    <w:name w:val="Merknadstekst Tegn"/>
    <w:basedOn w:val="Standardskriftforavsnitt"/>
    <w:link w:val="Merknadstekst"/>
    <w:rsid w:val="00BF16B9"/>
    <w:rPr>
      <w:rFonts w:ascii="Tahoma" w:hAnsi="Tahoma"/>
      <w:lang w:eastAsia="de-DE"/>
    </w:rPr>
  </w:style>
  <w:style w:type="paragraph" w:styleId="Kommentaremne">
    <w:name w:val="annotation subject"/>
    <w:basedOn w:val="Merknadstekst"/>
    <w:next w:val="Merknadstekst"/>
    <w:link w:val="KommentaremneTegn"/>
    <w:uiPriority w:val="99"/>
    <w:semiHidden/>
    <w:unhideWhenUsed/>
    <w:rsid w:val="0050070E"/>
    <w:rPr>
      <w:b/>
      <w:bCs/>
    </w:rPr>
  </w:style>
  <w:style w:type="character" w:customStyle="1" w:styleId="KommentaremneTegn">
    <w:name w:val="Kommentaremne Tegn"/>
    <w:basedOn w:val="MerknadstekstTegn"/>
    <w:link w:val="Kommentaremne"/>
    <w:uiPriority w:val="99"/>
    <w:semiHidden/>
    <w:rsid w:val="0050070E"/>
    <w:rPr>
      <w:rFonts w:ascii="Tahoma" w:hAnsi="Tahoma"/>
      <w:b/>
      <w:bCs/>
      <w:lang w:val="de-DE" w:eastAsia="de-DE"/>
    </w:rPr>
  </w:style>
  <w:style w:type="character" w:styleId="Ulstomtale">
    <w:name w:val="Unresolved Mention"/>
    <w:basedOn w:val="Standardskriftforavsnitt"/>
    <w:uiPriority w:val="99"/>
    <w:semiHidden/>
    <w:unhideWhenUsed/>
    <w:rsid w:val="00495110"/>
    <w:rPr>
      <w:color w:val="605E5C"/>
      <w:shd w:val="clear" w:color="auto" w:fill="E1DFDD"/>
    </w:rPr>
  </w:style>
  <w:style w:type="paragraph" w:customStyle="1" w:styleId="Default">
    <w:name w:val="Default"/>
    <w:rsid w:val="0022219C"/>
    <w:pPr>
      <w:autoSpaceDE w:val="0"/>
      <w:autoSpaceDN w:val="0"/>
      <w:adjustRightInd w:val="0"/>
    </w:pPr>
    <w:rPr>
      <w:rFonts w:ascii="Arial" w:hAnsi="Arial" w:cs="Arial"/>
      <w:color w:val="000000"/>
      <w:sz w:val="24"/>
      <w:szCs w:val="24"/>
    </w:rPr>
  </w:style>
  <w:style w:type="character" w:styleId="Sterk">
    <w:name w:val="Strong"/>
    <w:basedOn w:val="Standardskriftforavsnitt"/>
    <w:uiPriority w:val="22"/>
    <w:qFormat/>
    <w:rsid w:val="002630E4"/>
    <w:rPr>
      <w:b/>
      <w:bCs/>
    </w:rPr>
  </w:style>
  <w:style w:type="character" w:customStyle="1" w:styleId="dgsdg">
    <w:name w:val="dgsdg"/>
    <w:basedOn w:val="Standardskriftforavsnitt"/>
    <w:uiPriority w:val="1"/>
    <w:rsid w:val="00C22518"/>
    <w:rPr>
      <w:rFonts w:ascii="Arial" w:hAnsi="Arial"/>
      <w:sz w:val="20"/>
    </w:rPr>
  </w:style>
  <w:style w:type="paragraph" w:styleId="Revisjon">
    <w:name w:val="Revision"/>
    <w:hidden/>
    <w:uiPriority w:val="99"/>
    <w:semiHidden/>
    <w:rsid w:val="008C1597"/>
    <w:rPr>
      <w:lang w:eastAsia="de-DE"/>
    </w:rPr>
  </w:style>
  <w:style w:type="paragraph" w:customStyle="1" w:styleId="EMPIRbodytext">
    <w:name w:val="EMPIR body text"/>
    <w:basedOn w:val="Normal"/>
    <w:link w:val="EMPIRbodytextChar"/>
    <w:qFormat/>
    <w:rsid w:val="00460B54"/>
    <w:pPr>
      <w:spacing w:before="120"/>
      <w:jc w:val="both"/>
    </w:pPr>
    <w:rPr>
      <w:rFonts w:ascii="Arial" w:hAnsi="Arial"/>
    </w:rPr>
  </w:style>
  <w:style w:type="character" w:customStyle="1" w:styleId="EMPIRbodytextChar">
    <w:name w:val="EMPIR body text Char"/>
    <w:link w:val="EMPIRbodytext"/>
    <w:qFormat/>
    <w:rsid w:val="00460B54"/>
    <w:rPr>
      <w:rFonts w:ascii="Arial" w:hAnsi="Arial"/>
      <w:lang w:eastAsia="de-DE"/>
    </w:rPr>
  </w:style>
  <w:style w:type="paragraph" w:customStyle="1" w:styleId="EMPIRnumberedlistlevel1">
    <w:name w:val="EMPIR numbered list level1"/>
    <w:basedOn w:val="EMPIRbodytext"/>
    <w:rsid w:val="00460B54"/>
    <w:pPr>
      <w:numPr>
        <w:numId w:val="17"/>
      </w:numPr>
      <w:tabs>
        <w:tab w:val="left" w:pos="851"/>
      </w:tabs>
    </w:pPr>
  </w:style>
  <w:style w:type="paragraph" w:customStyle="1" w:styleId="EMPIRnumberedlistlevel2">
    <w:name w:val="EMPIR numbered list level2"/>
    <w:basedOn w:val="EMPIRnumberedlistlevel1"/>
    <w:rsid w:val="00460B54"/>
    <w:pPr>
      <w:numPr>
        <w:ilvl w:val="1"/>
      </w:numPr>
      <w:tabs>
        <w:tab w:val="clear" w:pos="1080"/>
        <w:tab w:val="num" w:pos="851"/>
      </w:tabs>
      <w:spacing w:before="0"/>
      <w:ind w:left="850" w:hanging="425"/>
    </w:pPr>
  </w:style>
  <w:style w:type="paragraph" w:customStyle="1" w:styleId="EMPIRdeltabletext">
    <w:name w:val="EMPIR del table text"/>
    <w:basedOn w:val="EMPIRbodytext"/>
    <w:qFormat/>
    <w:rsid w:val="00FC3899"/>
    <w:pPr>
      <w:spacing w:before="60" w:after="60"/>
      <w:jc w:val="left"/>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6686">
      <w:bodyDiv w:val="1"/>
      <w:marLeft w:val="0"/>
      <w:marRight w:val="0"/>
      <w:marTop w:val="0"/>
      <w:marBottom w:val="0"/>
      <w:divBdr>
        <w:top w:val="none" w:sz="0" w:space="0" w:color="auto"/>
        <w:left w:val="none" w:sz="0" w:space="0" w:color="auto"/>
        <w:bottom w:val="none" w:sz="0" w:space="0" w:color="auto"/>
        <w:right w:val="none" w:sz="0" w:space="0" w:color="auto"/>
      </w:divBdr>
    </w:div>
    <w:div w:id="2023431750">
      <w:bodyDiv w:val="1"/>
      <w:marLeft w:val="0"/>
      <w:marRight w:val="0"/>
      <w:marTop w:val="0"/>
      <w:marBottom w:val="0"/>
      <w:divBdr>
        <w:top w:val="none" w:sz="0" w:space="0" w:color="auto"/>
        <w:left w:val="none" w:sz="0" w:space="0" w:color="auto"/>
        <w:bottom w:val="none" w:sz="0" w:space="0" w:color="auto"/>
        <w:right w:val="none" w:sz="0" w:space="0" w:color="auto"/>
      </w:divBdr>
    </w:div>
    <w:div w:id="2047098995">
      <w:bodyDiv w:val="1"/>
      <w:marLeft w:val="0"/>
      <w:marRight w:val="0"/>
      <w:marTop w:val="0"/>
      <w:marBottom w:val="0"/>
      <w:divBdr>
        <w:top w:val="none" w:sz="0" w:space="0" w:color="auto"/>
        <w:left w:val="none" w:sz="0" w:space="0" w:color="auto"/>
        <w:bottom w:val="none" w:sz="0" w:space="0" w:color="auto"/>
        <w:right w:val="none" w:sz="0" w:space="0" w:color="auto"/>
      </w:divBdr>
      <w:divsChild>
        <w:div w:id="2014144253">
          <w:marLeft w:val="0"/>
          <w:marRight w:val="0"/>
          <w:marTop w:val="0"/>
          <w:marBottom w:val="0"/>
          <w:divBdr>
            <w:top w:val="none" w:sz="0" w:space="0" w:color="auto"/>
            <w:left w:val="none" w:sz="0" w:space="0" w:color="auto"/>
            <w:bottom w:val="none" w:sz="0" w:space="0" w:color="auto"/>
            <w:right w:val="none" w:sz="0" w:space="0" w:color="auto"/>
          </w:divBdr>
          <w:divsChild>
            <w:div w:id="108546255">
              <w:marLeft w:val="0"/>
              <w:marRight w:val="0"/>
              <w:marTop w:val="0"/>
              <w:marBottom w:val="0"/>
              <w:divBdr>
                <w:top w:val="none" w:sz="0" w:space="0" w:color="auto"/>
                <w:left w:val="none" w:sz="0" w:space="0" w:color="auto"/>
                <w:bottom w:val="none" w:sz="0" w:space="0" w:color="auto"/>
                <w:right w:val="none" w:sz="0" w:space="0" w:color="auto"/>
              </w:divBdr>
            </w:div>
            <w:div w:id="1571302764">
              <w:marLeft w:val="0"/>
              <w:marRight w:val="0"/>
              <w:marTop w:val="0"/>
              <w:marBottom w:val="0"/>
              <w:divBdr>
                <w:top w:val="none" w:sz="0" w:space="0" w:color="auto"/>
                <w:left w:val="none" w:sz="0" w:space="0" w:color="auto"/>
                <w:bottom w:val="none" w:sz="0" w:space="0" w:color="auto"/>
                <w:right w:val="none" w:sz="0" w:space="0" w:color="auto"/>
              </w:divBdr>
            </w:div>
            <w:div w:id="275648970">
              <w:marLeft w:val="0"/>
              <w:marRight w:val="0"/>
              <w:marTop w:val="0"/>
              <w:marBottom w:val="0"/>
              <w:divBdr>
                <w:top w:val="none" w:sz="0" w:space="0" w:color="auto"/>
                <w:left w:val="none" w:sz="0" w:space="0" w:color="auto"/>
                <w:bottom w:val="none" w:sz="0" w:space="0" w:color="auto"/>
                <w:right w:val="none" w:sz="0" w:space="0" w:color="auto"/>
              </w:divBdr>
            </w:div>
          </w:divsChild>
        </w:div>
        <w:div w:id="1175682615">
          <w:marLeft w:val="0"/>
          <w:marRight w:val="0"/>
          <w:marTop w:val="0"/>
          <w:marBottom w:val="0"/>
          <w:divBdr>
            <w:top w:val="single" w:sz="6" w:space="8" w:color="EAEAEA"/>
            <w:left w:val="none" w:sz="0" w:space="0" w:color="auto"/>
            <w:bottom w:val="none" w:sz="0" w:space="8" w:color="auto"/>
            <w:right w:val="none" w:sz="0" w:space="0" w:color="auto"/>
          </w:divBdr>
          <w:divsChild>
            <w:div w:id="255136775">
              <w:marLeft w:val="0"/>
              <w:marRight w:val="0"/>
              <w:marTop w:val="0"/>
              <w:marBottom w:val="0"/>
              <w:divBdr>
                <w:top w:val="none" w:sz="0" w:space="0" w:color="auto"/>
                <w:left w:val="none" w:sz="0" w:space="0" w:color="auto"/>
                <w:bottom w:val="none" w:sz="0" w:space="0" w:color="auto"/>
                <w:right w:val="none" w:sz="0" w:space="0" w:color="auto"/>
              </w:divBdr>
            </w:div>
            <w:div w:id="1877157841">
              <w:marLeft w:val="0"/>
              <w:marRight w:val="0"/>
              <w:marTop w:val="0"/>
              <w:marBottom w:val="0"/>
              <w:divBdr>
                <w:top w:val="none" w:sz="0" w:space="0" w:color="auto"/>
                <w:left w:val="none" w:sz="0" w:space="0" w:color="auto"/>
                <w:bottom w:val="none" w:sz="0" w:space="0" w:color="auto"/>
                <w:right w:val="none" w:sz="0" w:space="0" w:color="auto"/>
              </w:divBdr>
            </w:div>
            <w:div w:id="303124441">
              <w:marLeft w:val="0"/>
              <w:marRight w:val="0"/>
              <w:marTop w:val="0"/>
              <w:marBottom w:val="0"/>
              <w:divBdr>
                <w:top w:val="none" w:sz="0" w:space="0" w:color="auto"/>
                <w:left w:val="none" w:sz="0" w:space="0" w:color="auto"/>
                <w:bottom w:val="none" w:sz="0" w:space="0" w:color="auto"/>
                <w:right w:val="none" w:sz="0" w:space="0" w:color="auto"/>
              </w:divBdr>
            </w:div>
          </w:divsChild>
        </w:div>
        <w:div w:id="146947489">
          <w:marLeft w:val="0"/>
          <w:marRight w:val="0"/>
          <w:marTop w:val="0"/>
          <w:marBottom w:val="0"/>
          <w:divBdr>
            <w:top w:val="single" w:sz="6" w:space="8" w:color="EAEAEA"/>
            <w:left w:val="none" w:sz="0" w:space="0" w:color="auto"/>
            <w:bottom w:val="none" w:sz="0" w:space="8" w:color="auto"/>
            <w:right w:val="none" w:sz="0" w:space="0" w:color="auto"/>
          </w:divBdr>
          <w:divsChild>
            <w:div w:id="925966507">
              <w:marLeft w:val="0"/>
              <w:marRight w:val="0"/>
              <w:marTop w:val="0"/>
              <w:marBottom w:val="0"/>
              <w:divBdr>
                <w:top w:val="none" w:sz="0" w:space="0" w:color="auto"/>
                <w:left w:val="none" w:sz="0" w:space="0" w:color="auto"/>
                <w:bottom w:val="none" w:sz="0" w:space="0" w:color="auto"/>
                <w:right w:val="none" w:sz="0" w:space="0" w:color="auto"/>
              </w:divBdr>
            </w:div>
            <w:div w:id="1237322043">
              <w:marLeft w:val="0"/>
              <w:marRight w:val="0"/>
              <w:marTop w:val="0"/>
              <w:marBottom w:val="0"/>
              <w:divBdr>
                <w:top w:val="none" w:sz="0" w:space="0" w:color="auto"/>
                <w:left w:val="none" w:sz="0" w:space="0" w:color="auto"/>
                <w:bottom w:val="none" w:sz="0" w:space="0" w:color="auto"/>
                <w:right w:val="none" w:sz="0" w:space="0" w:color="auto"/>
              </w:divBdr>
            </w:div>
            <w:div w:id="662441258">
              <w:marLeft w:val="0"/>
              <w:marRight w:val="0"/>
              <w:marTop w:val="0"/>
              <w:marBottom w:val="0"/>
              <w:divBdr>
                <w:top w:val="none" w:sz="0" w:space="0" w:color="auto"/>
                <w:left w:val="none" w:sz="0" w:space="0" w:color="auto"/>
                <w:bottom w:val="none" w:sz="0" w:space="0" w:color="auto"/>
                <w:right w:val="none" w:sz="0" w:space="0" w:color="auto"/>
              </w:divBdr>
            </w:div>
          </w:divsChild>
        </w:div>
        <w:div w:id="776867770">
          <w:marLeft w:val="0"/>
          <w:marRight w:val="0"/>
          <w:marTop w:val="0"/>
          <w:marBottom w:val="0"/>
          <w:divBdr>
            <w:top w:val="single" w:sz="6" w:space="8" w:color="EAEAEA"/>
            <w:left w:val="none" w:sz="0" w:space="0" w:color="auto"/>
            <w:bottom w:val="none" w:sz="0" w:space="8" w:color="auto"/>
            <w:right w:val="none" w:sz="0" w:space="0" w:color="auto"/>
          </w:divBdr>
          <w:divsChild>
            <w:div w:id="1754012632">
              <w:marLeft w:val="0"/>
              <w:marRight w:val="0"/>
              <w:marTop w:val="0"/>
              <w:marBottom w:val="0"/>
              <w:divBdr>
                <w:top w:val="none" w:sz="0" w:space="0" w:color="auto"/>
                <w:left w:val="none" w:sz="0" w:space="0" w:color="auto"/>
                <w:bottom w:val="none" w:sz="0" w:space="0" w:color="auto"/>
                <w:right w:val="none" w:sz="0" w:space="0" w:color="auto"/>
              </w:divBdr>
            </w:div>
            <w:div w:id="1107389279">
              <w:marLeft w:val="0"/>
              <w:marRight w:val="0"/>
              <w:marTop w:val="0"/>
              <w:marBottom w:val="0"/>
              <w:divBdr>
                <w:top w:val="none" w:sz="0" w:space="0" w:color="auto"/>
                <w:left w:val="none" w:sz="0" w:space="0" w:color="auto"/>
                <w:bottom w:val="none" w:sz="0" w:space="0" w:color="auto"/>
                <w:right w:val="none" w:sz="0" w:space="0" w:color="auto"/>
              </w:divBdr>
            </w:div>
            <w:div w:id="941380895">
              <w:marLeft w:val="0"/>
              <w:marRight w:val="0"/>
              <w:marTop w:val="0"/>
              <w:marBottom w:val="0"/>
              <w:divBdr>
                <w:top w:val="none" w:sz="0" w:space="0" w:color="auto"/>
                <w:left w:val="none" w:sz="0" w:space="0" w:color="auto"/>
                <w:bottom w:val="none" w:sz="0" w:space="0" w:color="auto"/>
                <w:right w:val="none" w:sz="0" w:space="0" w:color="auto"/>
              </w:divBdr>
            </w:div>
          </w:divsChild>
        </w:div>
        <w:div w:id="840898869">
          <w:marLeft w:val="0"/>
          <w:marRight w:val="0"/>
          <w:marTop w:val="0"/>
          <w:marBottom w:val="0"/>
          <w:divBdr>
            <w:top w:val="single" w:sz="6" w:space="8" w:color="EAEAEA"/>
            <w:left w:val="none" w:sz="0" w:space="0" w:color="auto"/>
            <w:bottom w:val="none" w:sz="0" w:space="8" w:color="auto"/>
            <w:right w:val="none" w:sz="0" w:space="0" w:color="auto"/>
          </w:divBdr>
          <w:divsChild>
            <w:div w:id="1473785831">
              <w:marLeft w:val="0"/>
              <w:marRight w:val="0"/>
              <w:marTop w:val="0"/>
              <w:marBottom w:val="0"/>
              <w:divBdr>
                <w:top w:val="none" w:sz="0" w:space="0" w:color="auto"/>
                <w:left w:val="none" w:sz="0" w:space="0" w:color="auto"/>
                <w:bottom w:val="none" w:sz="0" w:space="0" w:color="auto"/>
                <w:right w:val="none" w:sz="0" w:space="0" w:color="auto"/>
              </w:divBdr>
            </w:div>
            <w:div w:id="1068456863">
              <w:marLeft w:val="0"/>
              <w:marRight w:val="0"/>
              <w:marTop w:val="0"/>
              <w:marBottom w:val="0"/>
              <w:divBdr>
                <w:top w:val="none" w:sz="0" w:space="0" w:color="auto"/>
                <w:left w:val="none" w:sz="0" w:space="0" w:color="auto"/>
                <w:bottom w:val="none" w:sz="0" w:space="0" w:color="auto"/>
                <w:right w:val="none" w:sz="0" w:space="0" w:color="auto"/>
              </w:divBdr>
            </w:div>
            <w:div w:id="2029407045">
              <w:marLeft w:val="0"/>
              <w:marRight w:val="0"/>
              <w:marTop w:val="0"/>
              <w:marBottom w:val="0"/>
              <w:divBdr>
                <w:top w:val="none" w:sz="0" w:space="0" w:color="auto"/>
                <w:left w:val="none" w:sz="0" w:space="0" w:color="auto"/>
                <w:bottom w:val="none" w:sz="0" w:space="0" w:color="auto"/>
                <w:right w:val="none" w:sz="0" w:space="0" w:color="auto"/>
              </w:divBdr>
            </w:div>
          </w:divsChild>
        </w:div>
        <w:div w:id="346906752">
          <w:marLeft w:val="0"/>
          <w:marRight w:val="0"/>
          <w:marTop w:val="0"/>
          <w:marBottom w:val="0"/>
          <w:divBdr>
            <w:top w:val="single" w:sz="6" w:space="8" w:color="EAEAEA"/>
            <w:left w:val="none" w:sz="0" w:space="0" w:color="auto"/>
            <w:bottom w:val="none" w:sz="0" w:space="8" w:color="auto"/>
            <w:right w:val="none" w:sz="0" w:space="0" w:color="auto"/>
          </w:divBdr>
          <w:divsChild>
            <w:div w:id="508717430">
              <w:marLeft w:val="0"/>
              <w:marRight w:val="0"/>
              <w:marTop w:val="0"/>
              <w:marBottom w:val="0"/>
              <w:divBdr>
                <w:top w:val="none" w:sz="0" w:space="0" w:color="auto"/>
                <w:left w:val="none" w:sz="0" w:space="0" w:color="auto"/>
                <w:bottom w:val="none" w:sz="0" w:space="0" w:color="auto"/>
                <w:right w:val="none" w:sz="0" w:space="0" w:color="auto"/>
              </w:divBdr>
            </w:div>
            <w:div w:id="128866256">
              <w:marLeft w:val="0"/>
              <w:marRight w:val="0"/>
              <w:marTop w:val="0"/>
              <w:marBottom w:val="0"/>
              <w:divBdr>
                <w:top w:val="none" w:sz="0" w:space="0" w:color="auto"/>
                <w:left w:val="none" w:sz="0" w:space="0" w:color="auto"/>
                <w:bottom w:val="none" w:sz="0" w:space="0" w:color="auto"/>
                <w:right w:val="none" w:sz="0" w:space="0" w:color="auto"/>
              </w:divBdr>
            </w:div>
            <w:div w:id="2058508054">
              <w:marLeft w:val="0"/>
              <w:marRight w:val="0"/>
              <w:marTop w:val="0"/>
              <w:marBottom w:val="0"/>
              <w:divBdr>
                <w:top w:val="none" w:sz="0" w:space="0" w:color="auto"/>
                <w:left w:val="none" w:sz="0" w:space="0" w:color="auto"/>
                <w:bottom w:val="none" w:sz="0" w:space="0" w:color="auto"/>
                <w:right w:val="none" w:sz="0" w:space="0" w:color="auto"/>
              </w:divBdr>
            </w:div>
          </w:divsChild>
        </w:div>
        <w:div w:id="260846435">
          <w:marLeft w:val="0"/>
          <w:marRight w:val="0"/>
          <w:marTop w:val="0"/>
          <w:marBottom w:val="0"/>
          <w:divBdr>
            <w:top w:val="single" w:sz="6" w:space="8" w:color="EAEAEA"/>
            <w:left w:val="none" w:sz="0" w:space="0" w:color="auto"/>
            <w:bottom w:val="none" w:sz="0" w:space="8" w:color="auto"/>
            <w:right w:val="none" w:sz="0" w:space="0" w:color="auto"/>
          </w:divBdr>
          <w:divsChild>
            <w:div w:id="1140000890">
              <w:marLeft w:val="0"/>
              <w:marRight w:val="0"/>
              <w:marTop w:val="0"/>
              <w:marBottom w:val="0"/>
              <w:divBdr>
                <w:top w:val="none" w:sz="0" w:space="0" w:color="auto"/>
                <w:left w:val="none" w:sz="0" w:space="0" w:color="auto"/>
                <w:bottom w:val="none" w:sz="0" w:space="0" w:color="auto"/>
                <w:right w:val="none" w:sz="0" w:space="0" w:color="auto"/>
              </w:divBdr>
            </w:div>
            <w:div w:id="685516819">
              <w:marLeft w:val="0"/>
              <w:marRight w:val="0"/>
              <w:marTop w:val="0"/>
              <w:marBottom w:val="0"/>
              <w:divBdr>
                <w:top w:val="none" w:sz="0" w:space="0" w:color="auto"/>
                <w:left w:val="none" w:sz="0" w:space="0" w:color="auto"/>
                <w:bottom w:val="none" w:sz="0" w:space="0" w:color="auto"/>
                <w:right w:val="none" w:sz="0" w:space="0" w:color="auto"/>
              </w:divBdr>
            </w:div>
            <w:div w:id="1881357033">
              <w:marLeft w:val="0"/>
              <w:marRight w:val="0"/>
              <w:marTop w:val="0"/>
              <w:marBottom w:val="0"/>
              <w:divBdr>
                <w:top w:val="none" w:sz="0" w:space="0" w:color="auto"/>
                <w:left w:val="none" w:sz="0" w:space="0" w:color="auto"/>
                <w:bottom w:val="none" w:sz="0" w:space="0" w:color="auto"/>
                <w:right w:val="none" w:sz="0" w:space="0" w:color="auto"/>
              </w:divBdr>
            </w:div>
          </w:divsChild>
        </w:div>
        <w:div w:id="616839285">
          <w:marLeft w:val="0"/>
          <w:marRight w:val="0"/>
          <w:marTop w:val="0"/>
          <w:marBottom w:val="0"/>
          <w:divBdr>
            <w:top w:val="single" w:sz="6" w:space="8" w:color="EAEAEA"/>
            <w:left w:val="none" w:sz="0" w:space="0" w:color="auto"/>
            <w:bottom w:val="none" w:sz="0" w:space="8" w:color="auto"/>
            <w:right w:val="none" w:sz="0" w:space="0" w:color="auto"/>
          </w:divBdr>
          <w:divsChild>
            <w:div w:id="2095857667">
              <w:marLeft w:val="0"/>
              <w:marRight w:val="0"/>
              <w:marTop w:val="0"/>
              <w:marBottom w:val="0"/>
              <w:divBdr>
                <w:top w:val="none" w:sz="0" w:space="0" w:color="auto"/>
                <w:left w:val="none" w:sz="0" w:space="0" w:color="auto"/>
                <w:bottom w:val="none" w:sz="0" w:space="0" w:color="auto"/>
                <w:right w:val="none" w:sz="0" w:space="0" w:color="auto"/>
              </w:divBdr>
            </w:div>
            <w:div w:id="1213225808">
              <w:marLeft w:val="0"/>
              <w:marRight w:val="0"/>
              <w:marTop w:val="0"/>
              <w:marBottom w:val="0"/>
              <w:divBdr>
                <w:top w:val="none" w:sz="0" w:space="0" w:color="auto"/>
                <w:left w:val="none" w:sz="0" w:space="0" w:color="auto"/>
                <w:bottom w:val="none" w:sz="0" w:space="0" w:color="auto"/>
                <w:right w:val="none" w:sz="0" w:space="0" w:color="auto"/>
              </w:divBdr>
            </w:div>
            <w:div w:id="703941224">
              <w:marLeft w:val="0"/>
              <w:marRight w:val="0"/>
              <w:marTop w:val="0"/>
              <w:marBottom w:val="0"/>
              <w:divBdr>
                <w:top w:val="none" w:sz="0" w:space="0" w:color="auto"/>
                <w:left w:val="none" w:sz="0" w:space="0" w:color="auto"/>
                <w:bottom w:val="none" w:sz="0" w:space="0" w:color="auto"/>
                <w:right w:val="none" w:sz="0" w:space="0" w:color="auto"/>
              </w:divBdr>
            </w:div>
          </w:divsChild>
        </w:div>
        <w:div w:id="1676763060">
          <w:marLeft w:val="0"/>
          <w:marRight w:val="0"/>
          <w:marTop w:val="0"/>
          <w:marBottom w:val="0"/>
          <w:divBdr>
            <w:top w:val="single" w:sz="6" w:space="8" w:color="EAEAEA"/>
            <w:left w:val="none" w:sz="0" w:space="0" w:color="auto"/>
            <w:bottom w:val="none" w:sz="0" w:space="8" w:color="auto"/>
            <w:right w:val="none" w:sz="0" w:space="0" w:color="auto"/>
          </w:divBdr>
          <w:divsChild>
            <w:div w:id="1860269333">
              <w:marLeft w:val="0"/>
              <w:marRight w:val="0"/>
              <w:marTop w:val="0"/>
              <w:marBottom w:val="0"/>
              <w:divBdr>
                <w:top w:val="none" w:sz="0" w:space="0" w:color="auto"/>
                <w:left w:val="none" w:sz="0" w:space="0" w:color="auto"/>
                <w:bottom w:val="none" w:sz="0" w:space="0" w:color="auto"/>
                <w:right w:val="none" w:sz="0" w:space="0" w:color="auto"/>
              </w:divBdr>
            </w:div>
            <w:div w:id="1246577167">
              <w:marLeft w:val="0"/>
              <w:marRight w:val="0"/>
              <w:marTop w:val="0"/>
              <w:marBottom w:val="0"/>
              <w:divBdr>
                <w:top w:val="none" w:sz="0" w:space="0" w:color="auto"/>
                <w:left w:val="none" w:sz="0" w:space="0" w:color="auto"/>
                <w:bottom w:val="none" w:sz="0" w:space="0" w:color="auto"/>
                <w:right w:val="none" w:sz="0" w:space="0" w:color="auto"/>
              </w:divBdr>
            </w:div>
            <w:div w:id="1536966036">
              <w:marLeft w:val="0"/>
              <w:marRight w:val="0"/>
              <w:marTop w:val="0"/>
              <w:marBottom w:val="0"/>
              <w:divBdr>
                <w:top w:val="none" w:sz="0" w:space="0" w:color="auto"/>
                <w:left w:val="none" w:sz="0" w:space="0" w:color="auto"/>
                <w:bottom w:val="none" w:sz="0" w:space="0" w:color="auto"/>
                <w:right w:val="none" w:sz="0" w:space="0" w:color="auto"/>
              </w:divBdr>
            </w:div>
          </w:divsChild>
        </w:div>
        <w:div w:id="1052774948">
          <w:marLeft w:val="0"/>
          <w:marRight w:val="0"/>
          <w:marTop w:val="0"/>
          <w:marBottom w:val="0"/>
          <w:divBdr>
            <w:top w:val="single" w:sz="6" w:space="8" w:color="EAEAEA"/>
            <w:left w:val="none" w:sz="0" w:space="0" w:color="auto"/>
            <w:bottom w:val="none" w:sz="0" w:space="8" w:color="auto"/>
            <w:right w:val="none" w:sz="0" w:space="0" w:color="auto"/>
          </w:divBdr>
          <w:divsChild>
            <w:div w:id="753018058">
              <w:marLeft w:val="0"/>
              <w:marRight w:val="0"/>
              <w:marTop w:val="0"/>
              <w:marBottom w:val="0"/>
              <w:divBdr>
                <w:top w:val="none" w:sz="0" w:space="0" w:color="auto"/>
                <w:left w:val="none" w:sz="0" w:space="0" w:color="auto"/>
                <w:bottom w:val="none" w:sz="0" w:space="0" w:color="auto"/>
                <w:right w:val="none" w:sz="0" w:space="0" w:color="auto"/>
              </w:divBdr>
            </w:div>
            <w:div w:id="1700081771">
              <w:marLeft w:val="0"/>
              <w:marRight w:val="0"/>
              <w:marTop w:val="0"/>
              <w:marBottom w:val="0"/>
              <w:divBdr>
                <w:top w:val="none" w:sz="0" w:space="0" w:color="auto"/>
                <w:left w:val="none" w:sz="0" w:space="0" w:color="auto"/>
                <w:bottom w:val="none" w:sz="0" w:space="0" w:color="auto"/>
                <w:right w:val="none" w:sz="0" w:space="0" w:color="auto"/>
              </w:divBdr>
            </w:div>
            <w:div w:id="2101443831">
              <w:marLeft w:val="0"/>
              <w:marRight w:val="0"/>
              <w:marTop w:val="0"/>
              <w:marBottom w:val="0"/>
              <w:divBdr>
                <w:top w:val="none" w:sz="0" w:space="0" w:color="auto"/>
                <w:left w:val="none" w:sz="0" w:space="0" w:color="auto"/>
                <w:bottom w:val="none" w:sz="0" w:space="0" w:color="auto"/>
                <w:right w:val="none" w:sz="0" w:space="0" w:color="auto"/>
              </w:divBdr>
            </w:div>
          </w:divsChild>
        </w:div>
        <w:div w:id="965506646">
          <w:marLeft w:val="0"/>
          <w:marRight w:val="0"/>
          <w:marTop w:val="0"/>
          <w:marBottom w:val="0"/>
          <w:divBdr>
            <w:top w:val="single" w:sz="6" w:space="8" w:color="EAEAEA"/>
            <w:left w:val="none" w:sz="0" w:space="0" w:color="auto"/>
            <w:bottom w:val="none" w:sz="0" w:space="8" w:color="auto"/>
            <w:right w:val="none" w:sz="0" w:space="0" w:color="auto"/>
          </w:divBdr>
          <w:divsChild>
            <w:div w:id="2076195246">
              <w:marLeft w:val="0"/>
              <w:marRight w:val="0"/>
              <w:marTop w:val="0"/>
              <w:marBottom w:val="0"/>
              <w:divBdr>
                <w:top w:val="none" w:sz="0" w:space="0" w:color="auto"/>
                <w:left w:val="none" w:sz="0" w:space="0" w:color="auto"/>
                <w:bottom w:val="none" w:sz="0" w:space="0" w:color="auto"/>
                <w:right w:val="none" w:sz="0" w:space="0" w:color="auto"/>
              </w:divBdr>
            </w:div>
            <w:div w:id="1338658958">
              <w:marLeft w:val="0"/>
              <w:marRight w:val="0"/>
              <w:marTop w:val="0"/>
              <w:marBottom w:val="0"/>
              <w:divBdr>
                <w:top w:val="none" w:sz="0" w:space="0" w:color="auto"/>
                <w:left w:val="none" w:sz="0" w:space="0" w:color="auto"/>
                <w:bottom w:val="none" w:sz="0" w:space="0" w:color="auto"/>
                <w:right w:val="none" w:sz="0" w:space="0" w:color="auto"/>
              </w:divBdr>
            </w:div>
            <w:div w:id="1890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amet.org/repository/research-publications-repository-li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4fbdd1-1946-4e6c-a100-562d6aaeb3ae">
      <Terms xmlns="http://schemas.microsoft.com/office/infopath/2007/PartnerControls"/>
    </lcf76f155ced4ddcb4097134ff3c332f>
    <TaxCatchAll xmlns="cd8dc661-baed-446d-a74c-0522ac6d3c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8DF2B0AF2791044B4183F10BA9D0467" ma:contentTypeVersion="11" ma:contentTypeDescription="Opprett et nytt dokument." ma:contentTypeScope="" ma:versionID="8be18060a149cc838b9881787c5761f3">
  <xsd:schema xmlns:xsd="http://www.w3.org/2001/XMLSchema" xmlns:xs="http://www.w3.org/2001/XMLSchema" xmlns:p="http://schemas.microsoft.com/office/2006/metadata/properties" xmlns:ns2="c34fbdd1-1946-4e6c-a100-562d6aaeb3ae" xmlns:ns3="cd8dc661-baed-446d-a74c-0522ac6d3ce9" targetNamespace="http://schemas.microsoft.com/office/2006/metadata/properties" ma:root="true" ma:fieldsID="3d5a95f637f6badef84df9e8f73da60b" ns2:_="" ns3:_="">
    <xsd:import namespace="c34fbdd1-1946-4e6c-a100-562d6aaeb3ae"/>
    <xsd:import namespace="cd8dc661-baed-446d-a74c-0522ac6d3c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fbdd1-1946-4e6c-a100-562d6aaeb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4f52118-b2c9-4960-8b4c-ef66670c9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dc661-baed-446d-a74c-0522ac6d3c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6fd7e-2bd7-4101-8939-973889202a09}" ma:internalName="TaxCatchAll" ma:showField="CatchAllData" ma:web="cd8dc661-baed-446d-a74c-0522ac6d3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5F74D-2C1F-4818-AEFA-20DFE602C1A5}">
  <ds:schemaRefs>
    <ds:schemaRef ds:uri="http://schemas.openxmlformats.org/officeDocument/2006/bibliography"/>
  </ds:schemaRefs>
</ds:datastoreItem>
</file>

<file path=customXml/itemProps2.xml><?xml version="1.0" encoding="utf-8"?>
<ds:datastoreItem xmlns:ds="http://schemas.openxmlformats.org/officeDocument/2006/customXml" ds:itemID="{B5B3755B-CC9B-4D3F-8131-0C66D277CD0C}">
  <ds:schemaRefs>
    <ds:schemaRef ds:uri="http://schemas.microsoft.com/sharepoint/v3/contenttype/forms"/>
  </ds:schemaRefs>
</ds:datastoreItem>
</file>

<file path=customXml/itemProps3.xml><?xml version="1.0" encoding="utf-8"?>
<ds:datastoreItem xmlns:ds="http://schemas.openxmlformats.org/officeDocument/2006/customXml" ds:itemID="{898AFACB-114A-4047-BD3C-BD1B5622EBC2}">
  <ds:schemaRefs>
    <ds:schemaRef ds:uri="http://schemas.microsoft.com/office/2006/metadata/properties"/>
    <ds:schemaRef ds:uri="http://schemas.microsoft.com/office/infopath/2007/PartnerControls"/>
    <ds:schemaRef ds:uri="c34fbdd1-1946-4e6c-a100-562d6aaeb3ae"/>
    <ds:schemaRef ds:uri="cd8dc661-baed-446d-a74c-0522ac6d3ce9"/>
  </ds:schemaRefs>
</ds:datastoreItem>
</file>

<file path=customXml/itemProps4.xml><?xml version="1.0" encoding="utf-8"?>
<ds:datastoreItem xmlns:ds="http://schemas.openxmlformats.org/officeDocument/2006/customXml" ds:itemID="{D242F743-7FCC-4F5A-B906-315CB8ADFEAA}"/>
</file>

<file path=docProps/app.xml><?xml version="1.0" encoding="utf-8"?>
<Properties xmlns="http://schemas.openxmlformats.org/officeDocument/2006/extended-properties" xmlns:vt="http://schemas.openxmlformats.org/officeDocument/2006/docPropsVTypes">
  <Template>Normal</Template>
  <TotalTime>163</TotalTime>
  <Pages>5</Pages>
  <Words>2169</Words>
  <Characters>14080</Characters>
  <Application>Microsoft Office Word</Application>
  <DocSecurity>0</DocSecurity>
  <Lines>117</Lines>
  <Paragraphs>32</Paragraphs>
  <ScaleCrop>false</ScaleCrop>
  <HeadingPairs>
    <vt:vector size="2" baseType="variant">
      <vt:variant>
        <vt:lpstr>Tittel</vt:lpstr>
      </vt:variant>
      <vt:variant>
        <vt:i4>1</vt:i4>
      </vt:variant>
    </vt:vector>
  </HeadingPairs>
  <TitlesOfParts>
    <vt:vector size="1" baseType="lpstr">
      <vt:lpstr/>
    </vt:vector>
  </TitlesOfParts>
  <Company>PTB Braunschweig &amp; Berlin</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EMRP-MSU</dc:creator>
  <cp:lastModifiedBy>Jarle Gran</cp:lastModifiedBy>
  <cp:revision>55</cp:revision>
  <cp:lastPrinted>2019-05-31T14:51:00Z</cp:lastPrinted>
  <dcterms:created xsi:type="dcterms:W3CDTF">2025-12-03T09:03:00Z</dcterms:created>
  <dcterms:modified xsi:type="dcterms:W3CDTF">2025-12-03T12:14:00Z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Not an NPL document (No visible marking)</vt:lpwstr>
  </property>
  <property fmtid="{D5CDD505-2E9C-101B-9397-08002B2CF9AE}" pid="3" name="aliashDocumentMarking">
    <vt:lpwstr/>
  </property>
  <property fmtid="{D5CDD505-2E9C-101B-9397-08002B2CF9AE}" pid="4" name="MediaServiceImageTags">
    <vt:lpwstr/>
  </property>
  <property fmtid="{D5CDD505-2E9C-101B-9397-08002B2CF9AE}" pid="5" name="MSIP_Label_d160b957-8a75-4a6a-9db5-cff87d15b537_Enabled">
    <vt:lpwstr>true</vt:lpwstr>
  </property>
  <property fmtid="{D5CDD505-2E9C-101B-9397-08002B2CF9AE}" pid="6" name="MSIP_Label_d160b957-8a75-4a6a-9db5-cff87d15b537_SetDate">
    <vt:lpwstr>2024-09-12T08:32:01Z</vt:lpwstr>
  </property>
  <property fmtid="{D5CDD505-2E9C-101B-9397-08002B2CF9AE}" pid="7" name="MSIP_Label_d160b957-8a75-4a6a-9db5-cff87d15b537_Method">
    <vt:lpwstr>Standard</vt:lpwstr>
  </property>
  <property fmtid="{D5CDD505-2E9C-101B-9397-08002B2CF9AE}" pid="8" name="MSIP_Label_d160b957-8a75-4a6a-9db5-cff87d15b537_Name">
    <vt:lpwstr>d160b957-8a75-4a6a-9db5-cff87d15b537</vt:lpwstr>
  </property>
  <property fmtid="{D5CDD505-2E9C-101B-9397-08002B2CF9AE}" pid="9" name="MSIP_Label_d160b957-8a75-4a6a-9db5-cff87d15b537_SiteId">
    <vt:lpwstr>601e5460-b1bf-49c0-bd2d-e76ffc186a8d</vt:lpwstr>
  </property>
  <property fmtid="{D5CDD505-2E9C-101B-9397-08002B2CF9AE}" pid="10" name="MSIP_Label_d160b957-8a75-4a6a-9db5-cff87d15b537_ActionId">
    <vt:lpwstr>5d250198-c2bd-470a-9d9f-fe8342802293</vt:lpwstr>
  </property>
  <property fmtid="{D5CDD505-2E9C-101B-9397-08002B2CF9AE}" pid="11" name="MSIP_Label_d160b957-8a75-4a6a-9db5-cff87d15b537_ContentBits">
    <vt:lpwstr>0</vt:lpwstr>
  </property>
  <property fmtid="{D5CDD505-2E9C-101B-9397-08002B2CF9AE}" pid="12" name="ContentTypeId">
    <vt:lpwstr>0x010100C8DF2B0AF2791044B4183F10BA9D0467</vt:lpwstr>
  </property>
</Properties>
</file>